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2B5" w:rsidRDefault="002142B5" w:rsidP="00897781">
      <w:pPr>
        <w:spacing w:after="0" w:line="259" w:lineRule="auto"/>
        <w:ind w:left="0" w:right="4" w:firstLine="0"/>
        <w:jc w:val="center"/>
        <w:rPr>
          <w:rFonts w:ascii="Calibri" w:eastAsia="Calibri" w:hAnsi="Calibri" w:cs="Calibri"/>
          <w:b/>
          <w:sz w:val="30"/>
        </w:rPr>
      </w:pPr>
      <w:bookmarkStart w:id="0" w:name="_GoBack"/>
      <w:bookmarkEnd w:id="0"/>
      <w:r>
        <w:rPr>
          <w:rFonts w:ascii="Calibri" w:eastAsia="Calibri" w:hAnsi="Calibri" w:cs="Calibri"/>
          <w:b/>
          <w:sz w:val="30"/>
        </w:rPr>
        <w:t>CHECK-LIST DE CONFORMITE – MR004</w:t>
      </w:r>
    </w:p>
    <w:p w:rsidR="002142B5" w:rsidRDefault="002142B5" w:rsidP="00897781">
      <w:pPr>
        <w:spacing w:after="0" w:line="259" w:lineRule="auto"/>
        <w:ind w:left="0" w:right="4" w:firstLine="0"/>
        <w:jc w:val="center"/>
        <w:rPr>
          <w:rFonts w:ascii="Calibri" w:eastAsia="Calibri" w:hAnsi="Calibri" w:cs="Calibri"/>
          <w:b/>
          <w:sz w:val="30"/>
        </w:rPr>
      </w:pPr>
    </w:p>
    <w:p w:rsidR="00897781" w:rsidRDefault="00897781" w:rsidP="00897781">
      <w:pPr>
        <w:spacing w:after="0" w:line="259" w:lineRule="auto"/>
        <w:ind w:left="0" w:right="4" w:firstLine="0"/>
        <w:jc w:val="center"/>
      </w:pPr>
      <w:r>
        <w:rPr>
          <w:rFonts w:ascii="Calibri" w:eastAsia="Calibri" w:hAnsi="Calibri" w:cs="Calibri"/>
          <w:b/>
          <w:sz w:val="30"/>
        </w:rPr>
        <w:t xml:space="preserve">Introduction </w:t>
      </w:r>
    </w:p>
    <w:p w:rsidR="00897781" w:rsidRDefault="00C14C13" w:rsidP="00897781">
      <w:pPr>
        <w:spacing w:after="269" w:line="259" w:lineRule="auto"/>
        <w:ind w:left="-28" w:right="-26" w:firstLine="0"/>
        <w:jc w:val="left"/>
      </w:pPr>
      <w:r>
        <w:rPr>
          <w:noProof/>
        </w:rPr>
        <w:drawing>
          <wp:inline distT="0" distB="0" distL="0" distR="0" wp14:anchorId="6868FDBD">
            <wp:extent cx="5468620" cy="2413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8620" cy="24130"/>
                    </a:xfrm>
                    <a:prstGeom prst="rect">
                      <a:avLst/>
                    </a:prstGeom>
                    <a:noFill/>
                  </pic:spPr>
                </pic:pic>
              </a:graphicData>
            </a:graphic>
          </wp:inline>
        </w:drawing>
      </w:r>
    </w:p>
    <w:p w:rsidR="00EE0F09" w:rsidRPr="00EE0F09" w:rsidRDefault="00EE0F09" w:rsidP="00EE0F09">
      <w:pPr>
        <w:spacing w:after="118" w:line="240" w:lineRule="auto"/>
        <w:ind w:left="1" w:firstLine="0"/>
      </w:pPr>
      <w:r w:rsidRPr="00EE0F09">
        <w:t xml:space="preserve">La check-list suivante permet de vous guider afin de vérifier la stricte conformité du traitement des données que vous souhaitez mettre en place dans le cadre d’une recherche </w:t>
      </w:r>
      <w:r>
        <w:t>n’</w:t>
      </w:r>
      <w:r w:rsidRPr="00EE0F09">
        <w:t xml:space="preserve">impliquant </w:t>
      </w:r>
      <w:r>
        <w:t>pas la personne humaine (non-RIPH</w:t>
      </w:r>
      <w:r w:rsidRPr="00EE0F09">
        <w:t xml:space="preserve">) à la méthodologie de référence CNIL </w:t>
      </w:r>
      <w:r>
        <w:t>MR004</w:t>
      </w:r>
      <w:r w:rsidRPr="00EE0F09">
        <w:t xml:space="preserve"> </w:t>
      </w:r>
      <w:r w:rsidRPr="00EE0F09">
        <w:rPr>
          <w:color w:val="auto"/>
        </w:rPr>
        <w:t>applicable</w:t>
      </w:r>
      <w:hyperlink r:id="rId8">
        <w:r w:rsidRPr="00EE0F09">
          <w:rPr>
            <w:rStyle w:val="Lienhypertexte"/>
            <w:color w:val="auto"/>
            <w:u w:val="none"/>
          </w:rPr>
          <w:t>.</w:t>
        </w:r>
      </w:hyperlink>
      <w:r w:rsidRPr="00EE0F09">
        <w:rPr>
          <w:color w:val="auto"/>
        </w:rPr>
        <w:t xml:space="preserve">  </w:t>
      </w:r>
    </w:p>
    <w:p w:rsidR="00EE0F09" w:rsidRPr="00EE0F09" w:rsidRDefault="00EE0F09" w:rsidP="00EE0F09">
      <w:pPr>
        <w:spacing w:after="118" w:line="240" w:lineRule="auto"/>
        <w:ind w:left="1" w:firstLine="0"/>
      </w:pPr>
      <w:r w:rsidRPr="00EE0F09">
        <w:rPr>
          <w:b/>
        </w:rPr>
        <w:t xml:space="preserve">Toute réponse négative (« faux ») à l’une des questions signifie que le traitement envisagé n’est pas conforme au référentiel. </w:t>
      </w:r>
    </w:p>
    <w:p w:rsidR="00EE0F09" w:rsidRPr="00EE0F09" w:rsidRDefault="00EE0F09" w:rsidP="00EE0F09">
      <w:pPr>
        <w:spacing w:after="118" w:line="240" w:lineRule="auto"/>
        <w:ind w:left="1" w:firstLine="0"/>
      </w:pPr>
      <w:r w:rsidRPr="00EE0F09">
        <w:t xml:space="preserve">Dans ce cas, une </w:t>
      </w:r>
      <w:r w:rsidRPr="00EE0F09">
        <w:rPr>
          <w:b/>
        </w:rPr>
        <w:t xml:space="preserve">demande d’autorisation CNIL </w:t>
      </w:r>
      <w:r w:rsidRPr="00EE0F09">
        <w:t xml:space="preserve">doit être déposée et son retour favorable doit être prononcé avant la mise en œuvre de votre recherche. </w:t>
      </w:r>
    </w:p>
    <w:p w:rsidR="00897781" w:rsidRDefault="00897781" w:rsidP="00897781">
      <w:pPr>
        <w:ind w:left="-5" w:right="0"/>
      </w:pPr>
      <w:r w:rsidRPr="00C537E3">
        <w:rPr>
          <w:u w:val="single"/>
        </w:rPr>
        <w:t>Le référentiel ne s’applique pas pour</w:t>
      </w:r>
      <w:r>
        <w:t xml:space="preserve"> : </w:t>
      </w:r>
    </w:p>
    <w:p w:rsidR="00897781" w:rsidRDefault="00897781" w:rsidP="00897781">
      <w:pPr>
        <w:ind w:left="721" w:right="0" w:firstLine="0"/>
      </w:pPr>
      <w:r>
        <w:t>- les recherches impliquant la personne humaine, telles que définies aux articles L. 1121-1 et R. 1121-1 et suivants du code de la santé publique ;</w:t>
      </w:r>
    </w:p>
    <w:p w:rsidR="00897781" w:rsidRDefault="00897781" w:rsidP="00897781">
      <w:pPr>
        <w:ind w:left="721" w:right="0" w:firstLine="0"/>
      </w:pPr>
      <w:r>
        <w:t>- les recherches en génétique dont l'objet, principal ou secondaire, est l'identification ou la ré-identification des personnes par leurs caractéristiques génétiques ;</w:t>
      </w:r>
    </w:p>
    <w:p w:rsidR="00897781" w:rsidRDefault="00897781" w:rsidP="00897781">
      <w:pPr>
        <w:ind w:left="721" w:right="0" w:firstLine="0"/>
      </w:pPr>
      <w:r>
        <w:t>- les recherches, études ou évaluations nécessitant un traitement des données depuis des bases médico-administratives, notamment celles du SNDS et de ses composantes ;</w:t>
      </w:r>
    </w:p>
    <w:p w:rsidR="00897781" w:rsidRDefault="00897781" w:rsidP="00897781">
      <w:pPr>
        <w:ind w:left="721" w:right="0" w:firstLine="0"/>
      </w:pPr>
      <w:r>
        <w:t>- les recherches nécessitant un appariement par le responsable de traitement entre les données déjà existantes d'un même individu issues de plusieurs centres participants ;</w:t>
      </w:r>
    </w:p>
    <w:p w:rsidR="00897781" w:rsidRDefault="00897781" w:rsidP="00897781">
      <w:pPr>
        <w:ind w:left="721" w:right="0" w:firstLine="0"/>
      </w:pPr>
      <w:r>
        <w:t>- les recherches pour lesquelles, s'agissant de l'information des personnes concernées, il est fait application de l'exception prévue à l'article 14, paragraphe 5, point b) du RGPD ;</w:t>
      </w:r>
    </w:p>
    <w:p w:rsidR="00897781" w:rsidRDefault="00897781" w:rsidP="00897781">
      <w:pPr>
        <w:ind w:left="721" w:right="0" w:firstLine="0"/>
      </w:pPr>
      <w:r>
        <w:t>- les recherches pour lesquelles l'analyse de l'impact des opérations de traitement envisagées sur la protection des données à caractère personnel (« analyse d'impact relative à la protection des données ») indique que le traitement présenterait, malgré les mesures prises en application de l'article 35 du RGPD pour atténuer le risque un risque résiduel élevé pour les droits et libertés des personnes concernées ;</w:t>
      </w:r>
    </w:p>
    <w:p w:rsidR="00897781" w:rsidRDefault="00897781" w:rsidP="00897781">
      <w:pPr>
        <w:ind w:left="721" w:right="0" w:firstLine="0"/>
      </w:pPr>
      <w:r>
        <w:t xml:space="preserve">- les recherches nécessitant le traitement du numéro d'inscription au répertoire national d'identification des personnes physiques (NIR). </w:t>
      </w:r>
    </w:p>
    <w:p w:rsidR="000A0CB7" w:rsidRDefault="000A0CB7" w:rsidP="00897781">
      <w:pPr>
        <w:ind w:left="721" w:right="0" w:firstLine="0"/>
      </w:pPr>
    </w:p>
    <w:p w:rsidR="000A0CB7" w:rsidRDefault="000A0CB7" w:rsidP="00897781">
      <w:pPr>
        <w:ind w:left="721" w:right="0" w:firstLine="0"/>
      </w:pPr>
    </w:p>
    <w:p w:rsidR="000A0CB7" w:rsidRDefault="000A0CB7" w:rsidP="00897781">
      <w:pPr>
        <w:ind w:left="721" w:right="0" w:firstLine="0"/>
      </w:pPr>
    </w:p>
    <w:p w:rsidR="000A0CB7" w:rsidRDefault="000A0CB7" w:rsidP="00897781">
      <w:pPr>
        <w:ind w:left="721" w:right="0" w:firstLine="0"/>
      </w:pPr>
    </w:p>
    <w:p w:rsidR="000A0CB7" w:rsidRDefault="000A0CB7" w:rsidP="00897781">
      <w:pPr>
        <w:ind w:left="721" w:right="0" w:firstLine="0"/>
      </w:pPr>
    </w:p>
    <w:p w:rsidR="000A0CB7" w:rsidRDefault="000A0CB7" w:rsidP="00897781">
      <w:pPr>
        <w:ind w:left="721" w:right="0" w:firstLine="0"/>
      </w:pPr>
    </w:p>
    <w:p w:rsidR="000A0CB7" w:rsidRDefault="000A0CB7" w:rsidP="00897781">
      <w:pPr>
        <w:ind w:left="721" w:right="0" w:firstLine="0"/>
      </w:pPr>
    </w:p>
    <w:p w:rsidR="000A0CB7" w:rsidRDefault="000A0CB7" w:rsidP="00897781">
      <w:pPr>
        <w:ind w:left="721" w:right="0" w:firstLine="0"/>
      </w:pPr>
    </w:p>
    <w:p w:rsidR="000A0CB7" w:rsidRDefault="000A0CB7" w:rsidP="00897781">
      <w:pPr>
        <w:ind w:left="721" w:right="0" w:firstLine="0"/>
      </w:pPr>
    </w:p>
    <w:p w:rsidR="000A0CB7" w:rsidRDefault="000A0CB7" w:rsidP="00897781">
      <w:pPr>
        <w:ind w:left="721" w:right="0" w:firstLine="0"/>
      </w:pPr>
    </w:p>
    <w:p w:rsidR="000A0CB7" w:rsidRDefault="000A0CB7" w:rsidP="00897781">
      <w:pPr>
        <w:ind w:left="721" w:right="0" w:firstLine="0"/>
      </w:pPr>
    </w:p>
    <w:p w:rsidR="000A0CB7" w:rsidRDefault="000A0CB7" w:rsidP="00897781">
      <w:pPr>
        <w:ind w:left="721" w:right="0" w:firstLine="0"/>
      </w:pPr>
    </w:p>
    <w:p w:rsidR="000A0CB7" w:rsidRDefault="000A0CB7" w:rsidP="00897781">
      <w:pPr>
        <w:ind w:left="721" w:right="0" w:firstLine="0"/>
      </w:pPr>
    </w:p>
    <w:p w:rsidR="00897781" w:rsidRDefault="00897781" w:rsidP="00897781">
      <w:pPr>
        <w:spacing w:after="0" w:line="259" w:lineRule="auto"/>
        <w:ind w:left="1"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p>
    <w:p w:rsidR="00897781" w:rsidRDefault="00897781" w:rsidP="00897781">
      <w:pPr>
        <w:spacing w:after="0" w:line="259" w:lineRule="auto"/>
        <w:ind w:left="-1079" w:right="9" w:firstLine="0"/>
        <w:jc w:val="left"/>
      </w:pPr>
    </w:p>
    <w:tbl>
      <w:tblPr>
        <w:tblStyle w:val="TableGrid"/>
        <w:tblW w:w="9734" w:type="dxa"/>
        <w:tblInd w:w="7" w:type="dxa"/>
        <w:tblCellMar>
          <w:top w:w="116" w:type="dxa"/>
          <w:left w:w="57" w:type="dxa"/>
        </w:tblCellMar>
        <w:tblLook w:val="04A0" w:firstRow="1" w:lastRow="0" w:firstColumn="1" w:lastColumn="0" w:noHBand="0" w:noVBand="1"/>
      </w:tblPr>
      <w:tblGrid>
        <w:gridCol w:w="1412"/>
        <w:gridCol w:w="4445"/>
        <w:gridCol w:w="1788"/>
        <w:gridCol w:w="2089"/>
      </w:tblGrid>
      <w:tr w:rsidR="00897781" w:rsidTr="00C537E3">
        <w:trPr>
          <w:cantSplit/>
          <w:trHeight w:val="760"/>
          <w:tblHeader/>
        </w:trPr>
        <w:tc>
          <w:tcPr>
            <w:tcW w:w="1412" w:type="dxa"/>
            <w:tcBorders>
              <w:top w:val="single" w:sz="4" w:space="0" w:color="004A99"/>
              <w:left w:val="single" w:sz="4" w:space="0" w:color="004A99"/>
              <w:bottom w:val="single" w:sz="4" w:space="0" w:color="004A99"/>
              <w:right w:val="single" w:sz="4" w:space="0" w:color="004A99"/>
            </w:tcBorders>
            <w:shd w:val="clear" w:color="auto" w:fill="002060"/>
            <w:vAlign w:val="center"/>
          </w:tcPr>
          <w:p w:rsidR="00897781" w:rsidRDefault="00897781" w:rsidP="00993C0E">
            <w:pPr>
              <w:spacing w:after="0" w:line="259" w:lineRule="auto"/>
              <w:ind w:left="0" w:right="0" w:firstLine="0"/>
              <w:jc w:val="center"/>
            </w:pPr>
            <w:r>
              <w:rPr>
                <w:rFonts w:ascii="Calibri" w:eastAsia="Calibri" w:hAnsi="Calibri" w:cs="Calibri"/>
                <w:b/>
                <w:color w:val="FFFFFF"/>
                <w:sz w:val="24"/>
              </w:rPr>
              <w:t xml:space="preserve">Point du référentiel </w:t>
            </w:r>
          </w:p>
        </w:tc>
        <w:tc>
          <w:tcPr>
            <w:tcW w:w="4445" w:type="dxa"/>
            <w:tcBorders>
              <w:top w:val="single" w:sz="4" w:space="0" w:color="004A99"/>
              <w:left w:val="single" w:sz="4" w:space="0" w:color="004A99"/>
              <w:bottom w:val="single" w:sz="4" w:space="0" w:color="004A99"/>
              <w:right w:val="single" w:sz="4" w:space="0" w:color="004A99"/>
            </w:tcBorders>
            <w:shd w:val="clear" w:color="auto" w:fill="002060"/>
            <w:vAlign w:val="center"/>
          </w:tcPr>
          <w:p w:rsidR="00897781" w:rsidRDefault="00897781" w:rsidP="00993C0E">
            <w:pPr>
              <w:spacing w:after="0" w:line="259" w:lineRule="auto"/>
              <w:ind w:left="0" w:right="58" w:firstLine="0"/>
              <w:jc w:val="center"/>
            </w:pPr>
            <w:r>
              <w:rPr>
                <w:rFonts w:ascii="Calibri" w:eastAsia="Calibri" w:hAnsi="Calibri" w:cs="Calibri"/>
                <w:b/>
                <w:color w:val="FFFFFF"/>
                <w:sz w:val="24"/>
              </w:rPr>
              <w:t xml:space="preserve">Critères </w:t>
            </w:r>
          </w:p>
        </w:tc>
        <w:tc>
          <w:tcPr>
            <w:tcW w:w="1788" w:type="dxa"/>
            <w:tcBorders>
              <w:top w:val="single" w:sz="4" w:space="0" w:color="004A99"/>
              <w:left w:val="single" w:sz="4" w:space="0" w:color="004A99"/>
              <w:bottom w:val="single" w:sz="4" w:space="0" w:color="004A99"/>
              <w:right w:val="single" w:sz="4" w:space="0" w:color="004A99"/>
            </w:tcBorders>
            <w:shd w:val="clear" w:color="auto" w:fill="002060"/>
            <w:vAlign w:val="center"/>
          </w:tcPr>
          <w:p w:rsidR="00897781" w:rsidRDefault="00897781" w:rsidP="00993C0E">
            <w:pPr>
              <w:spacing w:after="0" w:line="259" w:lineRule="auto"/>
              <w:ind w:left="0" w:right="57" w:firstLine="0"/>
              <w:jc w:val="center"/>
            </w:pPr>
            <w:r>
              <w:rPr>
                <w:rFonts w:ascii="Calibri" w:eastAsia="Calibri" w:hAnsi="Calibri" w:cs="Calibri"/>
                <w:b/>
                <w:color w:val="FFFFFF"/>
                <w:sz w:val="24"/>
              </w:rPr>
              <w:t xml:space="preserve">Réponse </w:t>
            </w:r>
          </w:p>
        </w:tc>
        <w:tc>
          <w:tcPr>
            <w:tcW w:w="2089" w:type="dxa"/>
            <w:tcBorders>
              <w:top w:val="single" w:sz="4" w:space="0" w:color="004A99"/>
              <w:left w:val="single" w:sz="4" w:space="0" w:color="004A99"/>
              <w:bottom w:val="single" w:sz="4" w:space="0" w:color="004A99"/>
              <w:right w:val="single" w:sz="4" w:space="0" w:color="004A99"/>
            </w:tcBorders>
            <w:shd w:val="clear" w:color="auto" w:fill="002060"/>
          </w:tcPr>
          <w:p w:rsidR="00897781" w:rsidRDefault="00897781" w:rsidP="00993C0E">
            <w:pPr>
              <w:spacing w:after="0" w:line="259" w:lineRule="auto"/>
              <w:ind w:left="0" w:right="0" w:firstLine="0"/>
              <w:jc w:val="center"/>
            </w:pPr>
            <w:r>
              <w:rPr>
                <w:rFonts w:ascii="Calibri" w:eastAsia="Calibri" w:hAnsi="Calibri" w:cs="Calibri"/>
                <w:b/>
                <w:color w:val="FFFFFF"/>
                <w:sz w:val="24"/>
              </w:rPr>
              <w:t xml:space="preserve">Raison de la  non-conformité </w:t>
            </w:r>
          </w:p>
        </w:tc>
      </w:tr>
      <w:tr w:rsidR="00897781" w:rsidTr="00993C0E">
        <w:trPr>
          <w:trHeight w:val="360"/>
        </w:trPr>
        <w:tc>
          <w:tcPr>
            <w:tcW w:w="9734" w:type="dxa"/>
            <w:gridSpan w:val="4"/>
            <w:tcBorders>
              <w:top w:val="single" w:sz="4" w:space="0" w:color="004A99"/>
              <w:left w:val="single" w:sz="4" w:space="0" w:color="004A99"/>
              <w:bottom w:val="single" w:sz="4" w:space="0" w:color="004A99"/>
              <w:right w:val="single" w:sz="4" w:space="0" w:color="004A99"/>
            </w:tcBorders>
            <w:shd w:val="clear" w:color="auto" w:fill="4796EC"/>
          </w:tcPr>
          <w:p w:rsidR="00897781" w:rsidRDefault="00897781" w:rsidP="00993C0E">
            <w:pPr>
              <w:spacing w:after="0" w:line="259" w:lineRule="auto"/>
              <w:ind w:left="0" w:right="59" w:firstLine="0"/>
              <w:jc w:val="center"/>
            </w:pPr>
            <w:r>
              <w:rPr>
                <w:rFonts w:ascii="Calibri" w:eastAsia="Calibri" w:hAnsi="Calibri" w:cs="Calibri"/>
                <w:b/>
                <w:color w:val="FFFFFF"/>
                <w:sz w:val="24"/>
              </w:rPr>
              <w:t>1. Champ d’application du référentiel</w:t>
            </w:r>
            <w:r>
              <w:rPr>
                <w:rFonts w:ascii="Calibri" w:eastAsia="Calibri" w:hAnsi="Calibri" w:cs="Calibri"/>
                <w:color w:val="FFFFFF"/>
                <w:sz w:val="24"/>
              </w:rPr>
              <w:t xml:space="preserve"> </w:t>
            </w:r>
          </w:p>
        </w:tc>
      </w:tr>
      <w:tr w:rsidR="00897781" w:rsidTr="00993C0E">
        <w:trPr>
          <w:trHeight w:val="1946"/>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897781" w:rsidRDefault="00897781" w:rsidP="00993C0E">
            <w:pPr>
              <w:spacing w:after="0" w:line="259" w:lineRule="auto"/>
              <w:ind w:left="0" w:right="58" w:firstLine="0"/>
              <w:jc w:val="center"/>
            </w:pPr>
            <w:r>
              <w:rPr>
                <w:rFonts w:ascii="Calibri" w:eastAsia="Calibri" w:hAnsi="Calibri" w:cs="Calibri"/>
                <w:b/>
                <w:color w:val="FFFFFF"/>
                <w:sz w:val="24"/>
              </w:rPr>
              <w:t>1.1</w:t>
            </w:r>
            <w:r>
              <w:rPr>
                <w:rFonts w:ascii="Calibri" w:eastAsia="Calibri" w:hAnsi="Calibri" w:cs="Calibri"/>
                <w:b/>
                <w:sz w:val="24"/>
              </w:rPr>
              <w:t xml:space="preserve"> </w:t>
            </w:r>
          </w:p>
        </w:tc>
        <w:tc>
          <w:tcPr>
            <w:tcW w:w="4445"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left="0" w:right="0" w:firstLine="0"/>
            </w:pPr>
            <w:r>
              <w:t xml:space="preserve">La présente MR concerne le traitement des données à caractère personnel, </w:t>
            </w:r>
            <w:r w:rsidRPr="00503CBC">
              <w:rPr>
                <w:i/>
              </w:rPr>
              <w:t>ie</w:t>
            </w:r>
            <w:r>
              <w:t xml:space="preserve"> toute information </w:t>
            </w:r>
            <w:r w:rsidRPr="00503CBC">
              <w:t>se rapportant à une personne phys</w:t>
            </w:r>
            <w:r>
              <w:t xml:space="preserve">ique identifiée ou identifiable. </w:t>
            </w:r>
          </w:p>
        </w:tc>
        <w:tc>
          <w:tcPr>
            <w:tcW w:w="1788"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198" w:line="259" w:lineRule="auto"/>
              <w:ind w:left="0" w:right="0" w:firstLine="0"/>
              <w:jc w:val="left"/>
            </w:pPr>
            <w:r>
              <w:rPr>
                <w:rFonts w:ascii="MS Gothic" w:eastAsia="MS Gothic" w:hAnsi="MS Gothic" w:cs="MS Gothic"/>
              </w:rPr>
              <w:t>☐</w:t>
            </w:r>
            <w:r>
              <w:t xml:space="preserve"> Vrai </w:t>
            </w:r>
          </w:p>
          <w:p w:rsidR="00897781" w:rsidRDefault="00897781" w:rsidP="00993C0E">
            <w:pPr>
              <w:spacing w:after="87" w:line="259" w:lineRule="auto"/>
              <w:ind w:left="0" w:right="0" w:firstLine="0"/>
              <w:jc w:val="left"/>
            </w:pPr>
            <w:r>
              <w:rPr>
                <w:rFonts w:ascii="MS Gothic" w:eastAsia="MS Gothic" w:hAnsi="MS Gothic" w:cs="MS Gothic"/>
              </w:rPr>
              <w:t>☐</w:t>
            </w:r>
            <w:r>
              <w:t xml:space="preserve"> Faux </w:t>
            </w:r>
          </w:p>
          <w:p w:rsidR="00897781" w:rsidRDefault="00897781" w:rsidP="00993C0E">
            <w:pPr>
              <w:spacing w:after="0" w:line="259" w:lineRule="auto"/>
              <w:ind w:left="0" w:right="0" w:firstLine="0"/>
              <w:jc w:val="left"/>
            </w:pPr>
            <w:r>
              <w:rPr>
                <w:i/>
              </w:rPr>
              <w:t>Si « faux » : non-conformité au référentiel</w:t>
            </w:r>
            <w:r>
              <w:t xml:space="preserve"> </w:t>
            </w:r>
          </w:p>
        </w:tc>
        <w:tc>
          <w:tcPr>
            <w:tcW w:w="2089"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left="0" w:right="0" w:firstLine="0"/>
              <w:jc w:val="left"/>
            </w:pPr>
            <w:r>
              <w:t xml:space="preserve"> </w:t>
            </w:r>
          </w:p>
        </w:tc>
      </w:tr>
      <w:tr w:rsidR="00897781" w:rsidTr="00993C0E">
        <w:trPr>
          <w:trHeight w:val="2671"/>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897781" w:rsidRDefault="00897781" w:rsidP="00993C0E">
            <w:pPr>
              <w:spacing w:after="0" w:line="259" w:lineRule="auto"/>
              <w:ind w:left="0" w:right="54" w:firstLine="0"/>
              <w:jc w:val="center"/>
            </w:pPr>
            <w:r>
              <w:rPr>
                <w:rFonts w:ascii="Calibri" w:eastAsia="Calibri" w:hAnsi="Calibri" w:cs="Calibri"/>
                <w:b/>
                <w:color w:val="FFFFFF"/>
                <w:sz w:val="24"/>
              </w:rPr>
              <w:t>1.2.</w:t>
            </w:r>
            <w:r>
              <w:rPr>
                <w:rFonts w:ascii="Calibri" w:eastAsia="Calibri" w:hAnsi="Calibri" w:cs="Calibri"/>
                <w:b/>
                <w:sz w:val="24"/>
              </w:rPr>
              <w:t xml:space="preserve"> </w:t>
            </w:r>
          </w:p>
        </w:tc>
        <w:tc>
          <w:tcPr>
            <w:tcW w:w="4445"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left="0" w:right="0" w:firstLine="0"/>
            </w:pPr>
            <w:r w:rsidRPr="00ED424B">
              <w:t>Les traitements de données à caractère personnel visés par la méthodologie de référence ont pour objet la réalisation de recherches, études et évaluations dans le domaine de la santé ne répondant pas à la définition des recherches impliquant la personne humaine</w:t>
            </w:r>
            <w:r>
              <w:t xml:space="preserve"> au sens du Code de la Santé publique et présentant un intérêt public.</w:t>
            </w:r>
          </w:p>
        </w:tc>
        <w:tc>
          <w:tcPr>
            <w:tcW w:w="1788" w:type="dxa"/>
            <w:tcBorders>
              <w:top w:val="single" w:sz="4" w:space="0" w:color="004A99"/>
              <w:left w:val="single" w:sz="4" w:space="0" w:color="004A99"/>
              <w:bottom w:val="single" w:sz="4" w:space="0" w:color="004A99"/>
              <w:right w:val="single" w:sz="4" w:space="0" w:color="004A99"/>
            </w:tcBorders>
            <w:vAlign w:val="center"/>
          </w:tcPr>
          <w:p w:rsidR="00897781" w:rsidRDefault="00897781" w:rsidP="00993C0E">
            <w:pPr>
              <w:spacing w:after="160" w:line="259" w:lineRule="auto"/>
              <w:ind w:left="0" w:right="0" w:firstLine="0"/>
              <w:jc w:val="left"/>
            </w:pPr>
            <w:r>
              <w:rPr>
                <w:rFonts w:ascii="MS Gothic" w:eastAsia="MS Gothic" w:hAnsi="MS Gothic" w:cs="MS Gothic"/>
              </w:rPr>
              <w:t>☐</w:t>
            </w:r>
            <w:r>
              <w:t xml:space="preserve"> Vrai </w:t>
            </w:r>
          </w:p>
          <w:p w:rsidR="00897781" w:rsidRDefault="00897781" w:rsidP="00993C0E">
            <w:pPr>
              <w:spacing w:after="0" w:line="259" w:lineRule="auto"/>
              <w:ind w:left="0" w:right="0" w:firstLine="0"/>
              <w:jc w:val="left"/>
            </w:pPr>
            <w:r>
              <w:rPr>
                <w:rFonts w:ascii="MS Gothic" w:eastAsia="MS Gothic" w:hAnsi="MS Gothic" w:cs="MS Gothic"/>
              </w:rPr>
              <w:t>☐</w:t>
            </w:r>
            <w:r>
              <w:t xml:space="preserve"> Faux </w:t>
            </w:r>
          </w:p>
        </w:tc>
        <w:tc>
          <w:tcPr>
            <w:tcW w:w="2089"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left="0" w:right="0" w:firstLine="0"/>
              <w:jc w:val="left"/>
            </w:pPr>
            <w:r>
              <w:t xml:space="preserve"> </w:t>
            </w:r>
          </w:p>
        </w:tc>
      </w:tr>
      <w:tr w:rsidR="00897781" w:rsidTr="00993C0E">
        <w:trPr>
          <w:trHeight w:val="436"/>
        </w:trPr>
        <w:tc>
          <w:tcPr>
            <w:tcW w:w="9734" w:type="dxa"/>
            <w:gridSpan w:val="4"/>
            <w:tcBorders>
              <w:top w:val="single" w:sz="4" w:space="0" w:color="004A99"/>
              <w:left w:val="single" w:sz="4" w:space="0" w:color="004A99"/>
              <w:bottom w:val="single" w:sz="4" w:space="0" w:color="004A99"/>
              <w:right w:val="single" w:sz="4" w:space="0" w:color="004A99"/>
            </w:tcBorders>
            <w:shd w:val="clear" w:color="auto" w:fill="4796EC"/>
          </w:tcPr>
          <w:p w:rsidR="00897781" w:rsidRPr="005E3279" w:rsidRDefault="00897781" w:rsidP="00993C0E">
            <w:pPr>
              <w:spacing w:after="0" w:line="259" w:lineRule="auto"/>
              <w:ind w:left="0" w:right="59" w:firstLine="0"/>
              <w:jc w:val="center"/>
              <w:rPr>
                <w:rFonts w:asciiTheme="minorHAnsi" w:hAnsiTheme="minorHAnsi" w:cstheme="minorHAnsi"/>
                <w:sz w:val="24"/>
                <w:szCs w:val="24"/>
              </w:rPr>
            </w:pPr>
            <w:r w:rsidRPr="005E3279">
              <w:rPr>
                <w:rFonts w:asciiTheme="minorHAnsi" w:hAnsiTheme="minorHAnsi" w:cstheme="minorHAnsi"/>
                <w:color w:val="FFFFFF" w:themeColor="background1"/>
                <w:sz w:val="24"/>
                <w:szCs w:val="24"/>
              </w:rPr>
              <w:t xml:space="preserve">2. </w:t>
            </w:r>
            <w:r>
              <w:rPr>
                <w:rFonts w:asciiTheme="minorHAnsi" w:hAnsiTheme="minorHAnsi" w:cstheme="minorHAnsi"/>
                <w:color w:val="FFFFFF" w:themeColor="background1"/>
                <w:sz w:val="24"/>
                <w:szCs w:val="24"/>
              </w:rPr>
              <w:t>Traitements relatifs aux</w:t>
            </w:r>
            <w:r w:rsidRPr="005E3279">
              <w:rPr>
                <w:rFonts w:asciiTheme="minorHAnsi" w:hAnsiTheme="minorHAnsi" w:cstheme="minorHAnsi"/>
                <w:color w:val="FFFFFF" w:themeColor="background1"/>
                <w:sz w:val="24"/>
                <w:szCs w:val="24"/>
              </w:rPr>
              <w:t xml:space="preserve"> données à caractère personnel</w:t>
            </w:r>
          </w:p>
        </w:tc>
      </w:tr>
      <w:tr w:rsidR="00897781" w:rsidTr="00993C0E">
        <w:trPr>
          <w:trHeight w:val="1617"/>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897781" w:rsidRDefault="00897781" w:rsidP="00993C0E">
            <w:pPr>
              <w:spacing w:after="0" w:line="259" w:lineRule="auto"/>
              <w:ind w:left="0" w:right="54" w:firstLine="0"/>
              <w:jc w:val="center"/>
              <w:rPr>
                <w:rFonts w:ascii="Calibri" w:eastAsia="Calibri" w:hAnsi="Calibri" w:cs="Calibri"/>
                <w:b/>
                <w:color w:val="FFFFFF"/>
                <w:sz w:val="24"/>
              </w:rPr>
            </w:pPr>
            <w:r>
              <w:rPr>
                <w:rFonts w:ascii="Calibri" w:eastAsia="Calibri" w:hAnsi="Calibri" w:cs="Calibri"/>
                <w:b/>
                <w:color w:val="FFFFFF"/>
                <w:sz w:val="24"/>
              </w:rPr>
              <w:t>2.1.</w:t>
            </w:r>
          </w:p>
        </w:tc>
        <w:tc>
          <w:tcPr>
            <w:tcW w:w="4445"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40" w:lineRule="auto"/>
              <w:ind w:right="0"/>
            </w:pPr>
            <w:r w:rsidRPr="00C40607">
              <w:t>Les traitements de données à caractère personnel des personnes concernées doivent avoir pour seule finalité la réalisation des recherches n'impliquant pas la personne humaine, études ou évaluations présentant un intérêt public</w:t>
            </w:r>
            <w:r>
              <w:t>.</w:t>
            </w:r>
          </w:p>
        </w:tc>
        <w:tc>
          <w:tcPr>
            <w:tcW w:w="1788" w:type="dxa"/>
            <w:tcBorders>
              <w:top w:val="single" w:sz="4" w:space="0" w:color="004A99"/>
              <w:left w:val="single" w:sz="4" w:space="0" w:color="004A99"/>
              <w:bottom w:val="single" w:sz="4" w:space="0" w:color="004A99"/>
              <w:right w:val="single" w:sz="4" w:space="0" w:color="004A99"/>
            </w:tcBorders>
            <w:vAlign w:val="center"/>
          </w:tcPr>
          <w:p w:rsidR="00C537E3" w:rsidRDefault="00C537E3" w:rsidP="00C537E3">
            <w:pPr>
              <w:spacing w:after="160" w:line="259" w:lineRule="auto"/>
              <w:ind w:left="0" w:right="0" w:firstLine="0"/>
              <w:jc w:val="left"/>
            </w:pPr>
            <w:r>
              <w:rPr>
                <w:rFonts w:ascii="MS Gothic" w:eastAsia="MS Gothic" w:hAnsi="MS Gothic" w:cs="MS Gothic"/>
              </w:rPr>
              <w:t>☐</w:t>
            </w:r>
            <w:r>
              <w:t xml:space="preserve"> Vrai </w:t>
            </w:r>
          </w:p>
          <w:p w:rsidR="00897781" w:rsidRDefault="00C537E3" w:rsidP="00C537E3">
            <w:pPr>
              <w:spacing w:after="157" w:line="259" w:lineRule="auto"/>
              <w:ind w:left="0" w:right="0" w:firstLine="0"/>
              <w:jc w:val="left"/>
              <w:rPr>
                <w:rFonts w:ascii="MS Gothic" w:eastAsia="MS Gothic" w:hAnsi="MS Gothic" w:cs="MS Gothic"/>
              </w:rPr>
            </w:pPr>
            <w:r>
              <w:rPr>
                <w:rFonts w:ascii="MS Gothic" w:eastAsia="MS Gothic" w:hAnsi="MS Gothic" w:cs="MS Gothic"/>
              </w:rPr>
              <w:t>☐</w:t>
            </w:r>
            <w:r>
              <w:t xml:space="preserve"> Faux</w:t>
            </w:r>
          </w:p>
        </w:tc>
        <w:tc>
          <w:tcPr>
            <w:tcW w:w="2089"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left="0" w:right="11" w:firstLine="0"/>
              <w:jc w:val="center"/>
            </w:pPr>
          </w:p>
        </w:tc>
      </w:tr>
      <w:tr w:rsidR="00897781" w:rsidTr="00993C0E">
        <w:trPr>
          <w:trHeight w:val="4696"/>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897781" w:rsidRDefault="00897781" w:rsidP="00993C0E">
            <w:pPr>
              <w:spacing w:after="0" w:line="259" w:lineRule="auto"/>
              <w:ind w:left="0" w:right="54" w:firstLine="0"/>
              <w:jc w:val="center"/>
              <w:rPr>
                <w:rFonts w:ascii="Calibri" w:eastAsia="Calibri" w:hAnsi="Calibri" w:cs="Calibri"/>
                <w:b/>
                <w:color w:val="FFFFFF"/>
                <w:sz w:val="24"/>
              </w:rPr>
            </w:pPr>
            <w:r>
              <w:rPr>
                <w:rFonts w:ascii="Calibri" w:eastAsia="Calibri" w:hAnsi="Calibri" w:cs="Calibri"/>
                <w:b/>
                <w:color w:val="FFFFFF"/>
                <w:sz w:val="24"/>
              </w:rPr>
              <w:lastRenderedPageBreak/>
              <w:t>2.1.bis.</w:t>
            </w:r>
          </w:p>
          <w:p w:rsidR="00897781" w:rsidRDefault="00897781" w:rsidP="00993C0E">
            <w:pPr>
              <w:spacing w:after="0" w:line="259" w:lineRule="auto"/>
              <w:ind w:left="0" w:right="54" w:firstLine="0"/>
              <w:jc w:val="center"/>
            </w:pPr>
          </w:p>
        </w:tc>
        <w:tc>
          <w:tcPr>
            <w:tcW w:w="4445"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40" w:lineRule="auto"/>
              <w:ind w:right="0"/>
              <w:jc w:val="left"/>
            </w:pPr>
            <w:r>
              <w:t xml:space="preserve">Les traitements de données à caractère personnel ont pour objectif d’effectuer : </w:t>
            </w:r>
          </w:p>
          <w:p w:rsidR="00897781" w:rsidRDefault="00897781" w:rsidP="00993C0E">
            <w:pPr>
              <w:spacing w:after="0" w:line="240" w:lineRule="auto"/>
              <w:ind w:right="0"/>
              <w:jc w:val="left"/>
            </w:pPr>
          </w:p>
          <w:p w:rsidR="00897781" w:rsidRDefault="00897781" w:rsidP="00897781">
            <w:pPr>
              <w:pStyle w:val="Paragraphedeliste"/>
              <w:numPr>
                <w:ilvl w:val="0"/>
                <w:numId w:val="1"/>
              </w:numPr>
              <w:spacing w:after="0"/>
            </w:pPr>
            <w:r>
              <w:t>D</w:t>
            </w:r>
            <w:r w:rsidRPr="00ED424B">
              <w:t>es recherches sur des données déjà collectées, lors du soin ou de recherches antérieures (réutilisation de données) ou des données collectées dans le cadre de la prise en charge médicale, au fil de l’eau ;</w:t>
            </w:r>
          </w:p>
          <w:p w:rsidR="00897781" w:rsidRPr="00ED424B" w:rsidRDefault="00897781" w:rsidP="00993C0E">
            <w:pPr>
              <w:pStyle w:val="Paragraphedeliste"/>
              <w:spacing w:after="0"/>
              <w:ind w:firstLine="0"/>
            </w:pPr>
          </w:p>
          <w:p w:rsidR="00897781" w:rsidRDefault="00897781" w:rsidP="00897781">
            <w:pPr>
              <w:pStyle w:val="Paragraphedeliste"/>
              <w:numPr>
                <w:ilvl w:val="0"/>
                <w:numId w:val="1"/>
              </w:numPr>
              <w:spacing w:after="0"/>
            </w:pPr>
            <w:r>
              <w:t>D</w:t>
            </w:r>
            <w:r w:rsidRPr="00ED424B">
              <w:t>es recherches dans lesquelles la personne participe et pour lesquelles des données spécifiques liées à la recherche sont collectées sans répondre à la définition juridique de « recherche impliquant la personne humaine » et notamment à la finalité précisée dans le code de la santé publique (</w:t>
            </w:r>
            <w:hyperlink r:id="rId9" w:history="1">
              <w:r w:rsidRPr="00ED424B">
                <w:rPr>
                  <w:rStyle w:val="Lienhypertexte"/>
                </w:rPr>
                <w:t>articles L.1121-1 </w:t>
              </w:r>
            </w:hyperlink>
            <w:r w:rsidRPr="00ED424B">
              <w:t>et </w:t>
            </w:r>
            <w:hyperlink r:id="rId10" w:history="1">
              <w:r w:rsidRPr="00ED424B">
                <w:rPr>
                  <w:rStyle w:val="Lienhypertexte"/>
                </w:rPr>
                <w:t>R. 1121-1</w:t>
              </w:r>
            </w:hyperlink>
            <w:r w:rsidRPr="00ED424B">
              <w:t> du code de la santé publique).</w:t>
            </w:r>
          </w:p>
        </w:tc>
        <w:tc>
          <w:tcPr>
            <w:tcW w:w="1788" w:type="dxa"/>
            <w:tcBorders>
              <w:top w:val="single" w:sz="4" w:space="0" w:color="004A99"/>
              <w:left w:val="single" w:sz="4" w:space="0" w:color="004A99"/>
              <w:bottom w:val="single" w:sz="4" w:space="0" w:color="004A99"/>
              <w:right w:val="single" w:sz="4" w:space="0" w:color="004A99"/>
            </w:tcBorders>
            <w:vAlign w:val="center"/>
          </w:tcPr>
          <w:p w:rsidR="00897781" w:rsidRDefault="00897781" w:rsidP="00993C0E">
            <w:pPr>
              <w:spacing w:after="157" w:line="259" w:lineRule="auto"/>
              <w:ind w:left="0" w:right="0" w:firstLine="0"/>
              <w:jc w:val="left"/>
            </w:pPr>
            <w:r>
              <w:rPr>
                <w:rFonts w:ascii="MS Gothic" w:eastAsia="MS Gothic" w:hAnsi="MS Gothic" w:cs="MS Gothic"/>
              </w:rPr>
              <w:t>☐</w:t>
            </w:r>
            <w:r>
              <w:t xml:space="preserve"> Vrai </w:t>
            </w:r>
          </w:p>
          <w:p w:rsidR="00897781" w:rsidRDefault="00897781" w:rsidP="00993C0E">
            <w:pPr>
              <w:spacing w:after="0" w:line="259" w:lineRule="auto"/>
              <w:ind w:left="0" w:right="0" w:firstLine="0"/>
              <w:jc w:val="left"/>
            </w:pPr>
            <w:r>
              <w:rPr>
                <w:rFonts w:ascii="MS Gothic" w:eastAsia="MS Gothic" w:hAnsi="MS Gothic" w:cs="MS Gothic"/>
              </w:rPr>
              <w:t>☐</w:t>
            </w:r>
            <w:r>
              <w:t xml:space="preserve"> Faux </w:t>
            </w:r>
          </w:p>
        </w:tc>
        <w:tc>
          <w:tcPr>
            <w:tcW w:w="2089"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left="0" w:right="11" w:firstLine="0"/>
              <w:jc w:val="center"/>
            </w:pPr>
            <w:r>
              <w:t xml:space="preserve"> </w:t>
            </w:r>
          </w:p>
        </w:tc>
      </w:tr>
      <w:tr w:rsidR="00897781" w:rsidTr="00993C0E">
        <w:trPr>
          <w:trHeight w:val="2514"/>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897781" w:rsidRDefault="00897781" w:rsidP="00993C0E">
            <w:pPr>
              <w:spacing w:after="0" w:line="259" w:lineRule="auto"/>
              <w:ind w:left="0" w:right="54" w:firstLine="0"/>
              <w:jc w:val="center"/>
            </w:pPr>
            <w:r>
              <w:rPr>
                <w:rFonts w:ascii="Calibri" w:eastAsia="Calibri" w:hAnsi="Calibri" w:cs="Calibri"/>
                <w:b/>
                <w:color w:val="FFFFFF"/>
                <w:sz w:val="24"/>
              </w:rPr>
              <w:t xml:space="preserve">2.2.1. </w:t>
            </w:r>
          </w:p>
        </w:tc>
        <w:tc>
          <w:tcPr>
            <w:tcW w:w="4445"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right="0"/>
            </w:pPr>
            <w:r>
              <w:t xml:space="preserve">Pseudonymisation des données </w:t>
            </w:r>
            <w:r w:rsidRPr="00F2552B">
              <w:t>au moyen d'un numéro d'ordre ou d'un code alphanumérique, établi conformément à l'article 2.2.3, et à l'exclusion de toute donnée à caractère personnel directement identifiante.</w:t>
            </w:r>
            <w:r>
              <w:t xml:space="preserve"> V. Mode opératoire de pseudonymisation de GR.</w:t>
            </w:r>
          </w:p>
          <w:p w:rsidR="00897781" w:rsidRDefault="00897781" w:rsidP="00993C0E">
            <w:pPr>
              <w:spacing w:after="0" w:line="259" w:lineRule="auto"/>
              <w:ind w:right="0"/>
            </w:pPr>
          </w:p>
          <w:p w:rsidR="00897781" w:rsidRDefault="00897781" w:rsidP="00993C0E">
            <w:pPr>
              <w:spacing w:after="0" w:line="259" w:lineRule="auto"/>
              <w:ind w:right="0"/>
            </w:pPr>
            <w:r w:rsidRPr="00F2552B">
              <w:t>Seuls les professionnels et ses collaborateurs intervenant dans la recherche dans un centre peuvent conserver le lien entre l'identité codée des personnes concernées par la recherche et leurs nom(s) et prénom(s) (table de correspondance conservée de façon sécurisée).</w:t>
            </w:r>
          </w:p>
        </w:tc>
        <w:tc>
          <w:tcPr>
            <w:tcW w:w="1788" w:type="dxa"/>
            <w:tcBorders>
              <w:top w:val="single" w:sz="4" w:space="0" w:color="004A99"/>
              <w:left w:val="single" w:sz="4" w:space="0" w:color="004A99"/>
              <w:bottom w:val="single" w:sz="4" w:space="0" w:color="004A99"/>
              <w:right w:val="single" w:sz="4" w:space="0" w:color="004A99"/>
            </w:tcBorders>
            <w:vAlign w:val="center"/>
          </w:tcPr>
          <w:p w:rsidR="00897781" w:rsidRDefault="00897781" w:rsidP="00993C0E">
            <w:pPr>
              <w:spacing w:after="157" w:line="259" w:lineRule="auto"/>
              <w:ind w:left="0" w:right="0" w:firstLine="0"/>
              <w:jc w:val="left"/>
            </w:pPr>
            <w:r>
              <w:rPr>
                <w:rFonts w:ascii="MS Gothic" w:eastAsia="MS Gothic" w:hAnsi="MS Gothic" w:cs="MS Gothic"/>
              </w:rPr>
              <w:t>☐</w:t>
            </w:r>
            <w:r>
              <w:t xml:space="preserve"> Vrai </w:t>
            </w:r>
          </w:p>
          <w:p w:rsidR="00897781" w:rsidRDefault="00897781" w:rsidP="00993C0E">
            <w:pPr>
              <w:spacing w:after="0" w:line="259" w:lineRule="auto"/>
              <w:ind w:left="0" w:right="0" w:firstLine="0"/>
              <w:jc w:val="left"/>
            </w:pPr>
            <w:r>
              <w:rPr>
                <w:rFonts w:ascii="MS Gothic" w:eastAsia="MS Gothic" w:hAnsi="MS Gothic" w:cs="MS Gothic"/>
              </w:rPr>
              <w:t>☐</w:t>
            </w:r>
            <w:r>
              <w:t xml:space="preserve"> Faux </w:t>
            </w:r>
          </w:p>
        </w:tc>
        <w:tc>
          <w:tcPr>
            <w:tcW w:w="2089"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left="0" w:right="11" w:firstLine="0"/>
              <w:jc w:val="center"/>
            </w:pPr>
            <w:r>
              <w:t xml:space="preserve"> </w:t>
            </w:r>
          </w:p>
        </w:tc>
      </w:tr>
      <w:tr w:rsidR="00897781" w:rsidTr="00993C0E">
        <w:trPr>
          <w:trHeight w:val="1380"/>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897781" w:rsidRDefault="00897781" w:rsidP="00993C0E">
            <w:pPr>
              <w:spacing w:after="0" w:line="259" w:lineRule="auto"/>
              <w:ind w:left="0" w:right="54" w:firstLine="0"/>
              <w:jc w:val="center"/>
            </w:pPr>
            <w:r>
              <w:rPr>
                <w:rFonts w:ascii="Calibri" w:eastAsia="Calibri" w:hAnsi="Calibri" w:cs="Calibri"/>
                <w:b/>
                <w:color w:val="FFFFFF"/>
                <w:sz w:val="24"/>
              </w:rPr>
              <w:t xml:space="preserve">2.2.2 </w:t>
            </w:r>
          </w:p>
        </w:tc>
        <w:tc>
          <w:tcPr>
            <w:tcW w:w="4445" w:type="dxa"/>
            <w:tcBorders>
              <w:top w:val="single" w:sz="4" w:space="0" w:color="004A99"/>
              <w:left w:val="single" w:sz="4" w:space="0" w:color="004A99"/>
              <w:bottom w:val="single" w:sz="4" w:space="0" w:color="004A99"/>
              <w:right w:val="single" w:sz="4" w:space="0" w:color="004A99"/>
            </w:tcBorders>
            <w:vAlign w:val="center"/>
          </w:tcPr>
          <w:p w:rsidR="00897781" w:rsidRDefault="00897781" w:rsidP="00993C0E">
            <w:pPr>
              <w:spacing w:after="0" w:line="259" w:lineRule="auto"/>
              <w:ind w:left="0" w:right="56" w:firstLine="0"/>
              <w:jc w:val="left"/>
            </w:pPr>
            <w:r>
              <w:t xml:space="preserve">Origine des données : </w:t>
            </w:r>
          </w:p>
          <w:p w:rsidR="00897781" w:rsidRDefault="00897781" w:rsidP="00993C0E">
            <w:pPr>
              <w:spacing w:after="0" w:line="259" w:lineRule="auto"/>
              <w:ind w:left="0" w:right="56" w:firstLine="0"/>
              <w:jc w:val="left"/>
            </w:pPr>
          </w:p>
          <w:p w:rsidR="00897781" w:rsidRDefault="00897781" w:rsidP="00993C0E">
            <w:pPr>
              <w:spacing w:after="0" w:line="259" w:lineRule="auto"/>
              <w:ind w:left="0" w:right="56" w:firstLine="0"/>
              <w:jc w:val="left"/>
            </w:pPr>
            <w:r>
              <w:t xml:space="preserve"> - </w:t>
            </w:r>
            <w:r w:rsidRPr="00F2552B">
              <w:t>intéressés eux-mêmes et/ou de leur(s) représentant(s) légal(-aux) ;</w:t>
            </w:r>
            <w:r w:rsidRPr="00F2552B">
              <w:br/>
              <w:t>- des professionnel</w:t>
            </w:r>
            <w:r>
              <w:t xml:space="preserve">s intervenant dans la recherche </w:t>
            </w:r>
            <w:r w:rsidRPr="00F2552B">
              <w:t>;</w:t>
            </w:r>
            <w:r w:rsidRPr="00F2552B">
              <w:br/>
              <w:t>- des bases de données et/ou de collections d'échantillons biologiques, légalement constituées et ayant fait l'objet des formalités nécessaires auprès des autorités compétentes.</w:t>
            </w:r>
          </w:p>
        </w:tc>
        <w:tc>
          <w:tcPr>
            <w:tcW w:w="1788" w:type="dxa"/>
            <w:tcBorders>
              <w:top w:val="single" w:sz="4" w:space="0" w:color="004A99"/>
              <w:left w:val="single" w:sz="4" w:space="0" w:color="004A99"/>
              <w:bottom w:val="single" w:sz="4" w:space="0" w:color="004A99"/>
              <w:right w:val="single" w:sz="4" w:space="0" w:color="004A99"/>
            </w:tcBorders>
            <w:vAlign w:val="center"/>
          </w:tcPr>
          <w:p w:rsidR="00897781" w:rsidRDefault="00897781" w:rsidP="00993C0E">
            <w:pPr>
              <w:spacing w:after="157" w:line="259" w:lineRule="auto"/>
              <w:ind w:left="0" w:right="0" w:firstLine="0"/>
              <w:jc w:val="left"/>
            </w:pPr>
            <w:r>
              <w:rPr>
                <w:rFonts w:ascii="MS Gothic" w:eastAsia="MS Gothic" w:hAnsi="MS Gothic" w:cs="MS Gothic"/>
              </w:rPr>
              <w:t>☐</w:t>
            </w:r>
            <w:r>
              <w:t xml:space="preserve"> Vrai </w:t>
            </w:r>
          </w:p>
          <w:p w:rsidR="00897781" w:rsidRDefault="00897781" w:rsidP="00993C0E">
            <w:pPr>
              <w:spacing w:after="0" w:line="259" w:lineRule="auto"/>
              <w:ind w:left="0" w:right="0" w:firstLine="0"/>
              <w:jc w:val="left"/>
            </w:pPr>
            <w:r>
              <w:rPr>
                <w:rFonts w:ascii="MS Gothic" w:eastAsia="MS Gothic" w:hAnsi="MS Gothic" w:cs="MS Gothic"/>
              </w:rPr>
              <w:t>☐</w:t>
            </w:r>
            <w:r>
              <w:t xml:space="preserve"> Faux </w:t>
            </w:r>
          </w:p>
        </w:tc>
        <w:tc>
          <w:tcPr>
            <w:tcW w:w="2089"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left="0" w:right="11" w:firstLine="0"/>
              <w:jc w:val="center"/>
            </w:pPr>
            <w:r>
              <w:t xml:space="preserve"> </w:t>
            </w:r>
          </w:p>
        </w:tc>
      </w:tr>
      <w:tr w:rsidR="00897781" w:rsidTr="00993C0E">
        <w:trPr>
          <w:trHeight w:val="2635"/>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897781" w:rsidRDefault="00897781" w:rsidP="00993C0E">
            <w:pPr>
              <w:spacing w:after="0" w:line="259" w:lineRule="auto"/>
              <w:ind w:left="0" w:right="54" w:firstLine="0"/>
              <w:jc w:val="center"/>
            </w:pPr>
            <w:r>
              <w:rPr>
                <w:rFonts w:ascii="Calibri" w:eastAsia="Calibri" w:hAnsi="Calibri" w:cs="Calibri"/>
                <w:b/>
                <w:color w:val="FFFFFF"/>
                <w:sz w:val="24"/>
              </w:rPr>
              <w:t xml:space="preserve">2.2.3 </w:t>
            </w:r>
          </w:p>
        </w:tc>
        <w:tc>
          <w:tcPr>
            <w:tcW w:w="4445" w:type="dxa"/>
            <w:tcBorders>
              <w:top w:val="single" w:sz="4" w:space="0" w:color="004A99"/>
              <w:left w:val="single" w:sz="4" w:space="0" w:color="004A99"/>
              <w:bottom w:val="single" w:sz="4" w:space="0" w:color="004A99"/>
              <w:right w:val="single" w:sz="4" w:space="0" w:color="004A99"/>
            </w:tcBorders>
          </w:tcPr>
          <w:p w:rsidR="00897781" w:rsidRPr="00F2552B" w:rsidRDefault="00897781" w:rsidP="00993C0E">
            <w:pPr>
              <w:spacing w:after="0" w:line="259" w:lineRule="auto"/>
              <w:ind w:right="0"/>
            </w:pPr>
            <w:r w:rsidRPr="00F2552B">
              <w:t xml:space="preserve">Le responsable de traitement s’engage à ne collecter que les </w:t>
            </w:r>
            <w:r w:rsidRPr="001A55EC">
              <w:rPr>
                <w:b/>
              </w:rPr>
              <w:t xml:space="preserve">données pertinentes, adéquates et limitées </w:t>
            </w:r>
            <w:r w:rsidRPr="00F2552B">
              <w:t>à ce qui est nécessaire au regard des finalités pour lesquelles elles sont traitées.</w:t>
            </w:r>
          </w:p>
          <w:p w:rsidR="00897781" w:rsidRDefault="00897781" w:rsidP="00993C0E">
            <w:pPr>
              <w:spacing w:after="0" w:line="259" w:lineRule="auto"/>
              <w:ind w:right="0"/>
            </w:pPr>
            <w:r w:rsidRPr="00F2552B">
              <w:t xml:space="preserve">La </w:t>
            </w:r>
            <w:r w:rsidRPr="001A55EC">
              <w:rPr>
                <w:u w:val="single"/>
              </w:rPr>
              <w:t>nécessité de leur traitement doit être justifiée</w:t>
            </w:r>
            <w:r w:rsidRPr="00F2552B">
              <w:t xml:space="preserve"> scientifiquement dans le </w:t>
            </w:r>
            <w:r w:rsidRPr="001A55EC">
              <w:rPr>
                <w:b/>
              </w:rPr>
              <w:t>protocole de recherche</w:t>
            </w:r>
            <w:r w:rsidRPr="00F2552B">
              <w:t>.</w:t>
            </w:r>
          </w:p>
          <w:p w:rsidR="00897781" w:rsidRPr="00F2552B" w:rsidRDefault="00897781" w:rsidP="00993C0E">
            <w:pPr>
              <w:spacing w:after="0" w:line="259" w:lineRule="auto"/>
              <w:ind w:right="0"/>
            </w:pPr>
          </w:p>
          <w:p w:rsidR="00897781" w:rsidRDefault="00897781" w:rsidP="00993C0E">
            <w:pPr>
              <w:spacing w:after="0" w:line="259" w:lineRule="auto"/>
              <w:ind w:right="0"/>
            </w:pPr>
            <w:r w:rsidRPr="00F2552B">
              <w:t>La liste des catégories de données des patients et des données des professionnels de santé pouvant être traitées est limitative et énumérée dans la méthodologie de référence.</w:t>
            </w:r>
          </w:p>
          <w:p w:rsidR="00897781" w:rsidRPr="00F2552B" w:rsidRDefault="00897781" w:rsidP="00993C0E">
            <w:pPr>
              <w:spacing w:after="0" w:line="259" w:lineRule="auto"/>
              <w:ind w:right="0"/>
            </w:pPr>
          </w:p>
          <w:p w:rsidR="00897781" w:rsidRDefault="00897781" w:rsidP="00993C0E">
            <w:pPr>
              <w:spacing w:after="0" w:line="259" w:lineRule="auto"/>
              <w:ind w:right="0"/>
            </w:pPr>
            <w:r>
              <w:t>Exemple :</w:t>
            </w:r>
            <w:r w:rsidRPr="00F2552B">
              <w:t xml:space="preserve"> données de santé des patients, données génétiques strictement nécessaires pour répondre aux objectifs ou finalités de la recherche, ne pouvant en aucun cas être utilisées aux fins d'identification ou de réidentification des personnes</w:t>
            </w:r>
            <w:r>
              <w:t xml:space="preserve">, âge, situation familiale, </w:t>
            </w:r>
            <w:r w:rsidRPr="00F2552B">
              <w:t>ha</w:t>
            </w:r>
            <w:r>
              <w:t>bitudes de vie</w:t>
            </w:r>
            <w:r w:rsidRPr="00F2552B">
              <w:t>.</w:t>
            </w:r>
          </w:p>
          <w:p w:rsidR="00897781" w:rsidRDefault="00897781" w:rsidP="00993C0E">
            <w:pPr>
              <w:spacing w:after="0" w:line="259" w:lineRule="auto"/>
              <w:ind w:right="0"/>
            </w:pPr>
          </w:p>
          <w:p w:rsidR="00897781" w:rsidRPr="001A55EC" w:rsidRDefault="00897781" w:rsidP="00993C0E">
            <w:pPr>
              <w:spacing w:after="0" w:line="259" w:lineRule="auto"/>
              <w:ind w:right="0"/>
              <w:rPr>
                <w:color w:val="FF0000"/>
              </w:rPr>
            </w:pPr>
            <w:r w:rsidRPr="001A55EC">
              <w:rPr>
                <w:color w:val="FF0000"/>
              </w:rPr>
              <w:t>Exemple exclusion : NIR.</w:t>
            </w:r>
          </w:p>
          <w:p w:rsidR="00897781" w:rsidRDefault="00897781" w:rsidP="00993C0E">
            <w:pPr>
              <w:spacing w:after="0" w:line="259" w:lineRule="auto"/>
              <w:ind w:right="0"/>
            </w:pPr>
          </w:p>
        </w:tc>
        <w:tc>
          <w:tcPr>
            <w:tcW w:w="1788" w:type="dxa"/>
            <w:tcBorders>
              <w:top w:val="single" w:sz="4" w:space="0" w:color="004A99"/>
              <w:left w:val="single" w:sz="4" w:space="0" w:color="004A99"/>
              <w:bottom w:val="single" w:sz="4" w:space="0" w:color="004A99"/>
              <w:right w:val="single" w:sz="4" w:space="0" w:color="004A99"/>
            </w:tcBorders>
            <w:vAlign w:val="center"/>
          </w:tcPr>
          <w:p w:rsidR="00897781" w:rsidRDefault="00897781" w:rsidP="00993C0E">
            <w:pPr>
              <w:spacing w:after="157" w:line="259" w:lineRule="auto"/>
              <w:ind w:left="0" w:right="0" w:firstLine="0"/>
              <w:jc w:val="left"/>
            </w:pPr>
            <w:r>
              <w:rPr>
                <w:rFonts w:ascii="MS Gothic" w:eastAsia="MS Gothic" w:hAnsi="MS Gothic" w:cs="MS Gothic"/>
              </w:rPr>
              <w:t>☐</w:t>
            </w:r>
            <w:r>
              <w:t xml:space="preserve"> Vrai </w:t>
            </w:r>
          </w:p>
          <w:p w:rsidR="00897781" w:rsidRDefault="00897781" w:rsidP="00993C0E">
            <w:pPr>
              <w:spacing w:after="0" w:line="259" w:lineRule="auto"/>
              <w:ind w:left="0" w:right="0" w:firstLine="0"/>
              <w:jc w:val="left"/>
            </w:pPr>
            <w:r>
              <w:rPr>
                <w:rFonts w:ascii="MS Gothic" w:eastAsia="MS Gothic" w:hAnsi="MS Gothic" w:cs="MS Gothic"/>
              </w:rPr>
              <w:t>☐</w:t>
            </w:r>
            <w:r>
              <w:t xml:space="preserve"> Faux </w:t>
            </w:r>
          </w:p>
        </w:tc>
        <w:tc>
          <w:tcPr>
            <w:tcW w:w="2089"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left="0" w:right="11" w:firstLine="0"/>
              <w:jc w:val="center"/>
            </w:pPr>
            <w:r>
              <w:t xml:space="preserve"> </w:t>
            </w:r>
          </w:p>
        </w:tc>
      </w:tr>
      <w:tr w:rsidR="00897781" w:rsidTr="00993C0E">
        <w:trPr>
          <w:trHeight w:val="2136"/>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897781" w:rsidRDefault="00897781" w:rsidP="00993C0E">
            <w:pPr>
              <w:spacing w:after="0" w:line="259" w:lineRule="auto"/>
              <w:ind w:left="0" w:right="54" w:firstLine="0"/>
              <w:jc w:val="center"/>
            </w:pPr>
            <w:r>
              <w:rPr>
                <w:rFonts w:ascii="Calibri" w:eastAsia="Calibri" w:hAnsi="Calibri" w:cs="Calibri"/>
                <w:b/>
                <w:color w:val="FFFFFF"/>
                <w:sz w:val="24"/>
              </w:rPr>
              <w:t>2.3.1 et 2.3.2</w:t>
            </w:r>
          </w:p>
        </w:tc>
        <w:tc>
          <w:tcPr>
            <w:tcW w:w="4445" w:type="dxa"/>
            <w:tcBorders>
              <w:top w:val="single" w:sz="4" w:space="0" w:color="004A99"/>
              <w:left w:val="single" w:sz="4" w:space="0" w:color="004A99"/>
              <w:bottom w:val="single" w:sz="4" w:space="0" w:color="004A99"/>
              <w:right w:val="single" w:sz="4" w:space="0" w:color="004A99"/>
            </w:tcBorders>
          </w:tcPr>
          <w:p w:rsidR="00897781" w:rsidRPr="00F2552B" w:rsidRDefault="00897781" w:rsidP="00993C0E">
            <w:pPr>
              <w:spacing w:after="0" w:line="259" w:lineRule="auto"/>
              <w:ind w:right="0"/>
            </w:pPr>
            <w:r w:rsidRPr="001A55EC">
              <w:rPr>
                <w:bCs/>
              </w:rPr>
              <w:t>Les personnes accédant aux données sont soumises au</w:t>
            </w:r>
            <w:r w:rsidRPr="00F2552B">
              <w:rPr>
                <w:b/>
                <w:bCs/>
              </w:rPr>
              <w:t xml:space="preserve"> secret professionnel. </w:t>
            </w:r>
            <w:r w:rsidRPr="001A55EC">
              <w:rPr>
                <w:bCs/>
              </w:rPr>
              <w:t xml:space="preserve">Elles peuvent relever du </w:t>
            </w:r>
            <w:r w:rsidRPr="00F2552B">
              <w:rPr>
                <w:b/>
                <w:bCs/>
              </w:rPr>
              <w:t xml:space="preserve">responsable de traitement, </w:t>
            </w:r>
            <w:r w:rsidRPr="001A55EC">
              <w:rPr>
                <w:bCs/>
              </w:rPr>
              <w:t xml:space="preserve">des </w:t>
            </w:r>
            <w:r w:rsidRPr="00F2552B">
              <w:rPr>
                <w:b/>
                <w:bCs/>
              </w:rPr>
              <w:t xml:space="preserve">centres participants à la recherche </w:t>
            </w:r>
            <w:r w:rsidRPr="001A55EC">
              <w:rPr>
                <w:bCs/>
              </w:rPr>
              <w:t>ou de</w:t>
            </w:r>
            <w:r w:rsidRPr="00F2552B">
              <w:rPr>
                <w:b/>
                <w:bCs/>
              </w:rPr>
              <w:t xml:space="preserve"> structures agissant pour le compte du responsable de traitement.</w:t>
            </w:r>
          </w:p>
          <w:p w:rsidR="00897781" w:rsidRDefault="00897781" w:rsidP="00993C0E">
            <w:pPr>
              <w:spacing w:after="0" w:line="259" w:lineRule="auto"/>
              <w:ind w:right="0"/>
            </w:pPr>
            <w:r w:rsidRPr="00F2552B">
              <w:t>Seuls les professionnels et leurs collaborateurs intervenant dans la recherche dans un lieu de recherche peuvent conserver le lien entre l'identité codée des personnes et leurs nom(s) et prénom(s) (table de correspondance conservée de façon sécurisée).</w:t>
            </w:r>
          </w:p>
          <w:p w:rsidR="00897781" w:rsidRPr="00F2552B" w:rsidRDefault="00897781" w:rsidP="00993C0E">
            <w:pPr>
              <w:spacing w:after="0" w:line="259" w:lineRule="auto"/>
              <w:ind w:right="0"/>
            </w:pPr>
          </w:p>
          <w:p w:rsidR="00897781" w:rsidRPr="00F2552B" w:rsidRDefault="00897781" w:rsidP="00993C0E">
            <w:pPr>
              <w:spacing w:after="0" w:line="259" w:lineRule="auto"/>
              <w:ind w:right="0"/>
            </w:pPr>
            <w:r w:rsidRPr="00F2552B">
              <w:t xml:space="preserve">Parmi les destinataires des </w:t>
            </w:r>
            <w:r w:rsidRPr="00BB46C1">
              <w:rPr>
                <w:b/>
              </w:rPr>
              <w:t>données directement identifiantes</w:t>
            </w:r>
            <w:r w:rsidRPr="00F2552B">
              <w:t xml:space="preserve"> des patients, figurent notamment les professionnels intervenant dans la recherche et les personnes responsables du contrôle et de l'assurance de qualité.</w:t>
            </w:r>
          </w:p>
          <w:p w:rsidR="00897781" w:rsidRPr="00F2552B" w:rsidRDefault="00897781" w:rsidP="00993C0E">
            <w:pPr>
              <w:spacing w:after="0" w:line="259" w:lineRule="auto"/>
              <w:ind w:right="0"/>
            </w:pPr>
            <w:r w:rsidRPr="00F2552B">
              <w:t>Par ailleurs, des sous-traitants, agissant pour le compte du responsable de traitement, peuvent être destinataires des données administratives d’identification des personnes se prêtant à la recherche (nom, prénom, coordonnées postales, électroniques et téléphoniques, coordonnées bancaires) sous certaines conditions et pour les missions précises [remboursement des frais, indemnités, suivi des personnes (envoi d’un message textuel, lien vers un questionnaire en ligne, etc.), livraison des produits].</w:t>
            </w:r>
          </w:p>
          <w:p w:rsidR="00897781" w:rsidRDefault="00897781" w:rsidP="00993C0E">
            <w:pPr>
              <w:spacing w:after="0" w:line="259" w:lineRule="auto"/>
              <w:ind w:right="0"/>
              <w:jc w:val="left"/>
            </w:pPr>
          </w:p>
        </w:tc>
        <w:tc>
          <w:tcPr>
            <w:tcW w:w="1788" w:type="dxa"/>
            <w:tcBorders>
              <w:top w:val="single" w:sz="4" w:space="0" w:color="004A99"/>
              <w:left w:val="single" w:sz="4" w:space="0" w:color="004A99"/>
              <w:bottom w:val="single" w:sz="4" w:space="0" w:color="004A99"/>
              <w:right w:val="single" w:sz="4" w:space="0" w:color="004A99"/>
            </w:tcBorders>
            <w:vAlign w:val="center"/>
          </w:tcPr>
          <w:p w:rsidR="00897781" w:rsidRDefault="00897781" w:rsidP="00993C0E">
            <w:pPr>
              <w:spacing w:after="160" w:line="259" w:lineRule="auto"/>
              <w:ind w:left="0" w:right="0" w:firstLine="0"/>
              <w:jc w:val="left"/>
            </w:pPr>
            <w:r>
              <w:rPr>
                <w:rFonts w:ascii="MS Gothic" w:eastAsia="MS Gothic" w:hAnsi="MS Gothic" w:cs="MS Gothic"/>
              </w:rPr>
              <w:t>☐</w:t>
            </w:r>
            <w:r>
              <w:t xml:space="preserve"> Vrai </w:t>
            </w:r>
          </w:p>
          <w:p w:rsidR="00897781" w:rsidRDefault="00897781" w:rsidP="00993C0E">
            <w:pPr>
              <w:spacing w:after="0" w:line="259" w:lineRule="auto"/>
              <w:ind w:left="0" w:right="0" w:firstLine="0"/>
              <w:jc w:val="left"/>
            </w:pPr>
            <w:r>
              <w:rPr>
                <w:rFonts w:ascii="MS Gothic" w:eastAsia="MS Gothic" w:hAnsi="MS Gothic" w:cs="MS Gothic"/>
              </w:rPr>
              <w:t>☐</w:t>
            </w:r>
            <w:r>
              <w:t xml:space="preserve"> Faux </w:t>
            </w:r>
          </w:p>
        </w:tc>
        <w:tc>
          <w:tcPr>
            <w:tcW w:w="2089"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left="0" w:right="11" w:firstLine="0"/>
              <w:jc w:val="center"/>
            </w:pPr>
            <w:r>
              <w:t xml:space="preserve"> </w:t>
            </w:r>
          </w:p>
        </w:tc>
      </w:tr>
      <w:tr w:rsidR="00897781" w:rsidTr="00993C0E">
        <w:trPr>
          <w:trHeight w:val="1711"/>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897781" w:rsidRDefault="00897781" w:rsidP="00993C0E">
            <w:pPr>
              <w:spacing w:after="0" w:line="259" w:lineRule="auto"/>
              <w:ind w:left="0" w:right="54" w:firstLine="0"/>
              <w:jc w:val="center"/>
            </w:pPr>
            <w:r>
              <w:rPr>
                <w:rFonts w:ascii="Calibri" w:eastAsia="Calibri" w:hAnsi="Calibri" w:cs="Calibri"/>
                <w:b/>
                <w:color w:val="FFFFFF"/>
                <w:sz w:val="24"/>
              </w:rPr>
              <w:t xml:space="preserve">2.4 </w:t>
            </w:r>
          </w:p>
        </w:tc>
        <w:tc>
          <w:tcPr>
            <w:tcW w:w="4445"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left="0" w:right="0" w:firstLine="0"/>
              <w:jc w:val="left"/>
            </w:pPr>
          </w:p>
          <w:p w:rsidR="00897781" w:rsidRDefault="00897781" w:rsidP="00993C0E">
            <w:pPr>
              <w:spacing w:after="0" w:line="259" w:lineRule="auto"/>
              <w:ind w:right="0"/>
            </w:pPr>
            <w:r>
              <w:t>L</w:t>
            </w:r>
            <w:r w:rsidRPr="00C80607">
              <w:t xml:space="preserve">a </w:t>
            </w:r>
            <w:r w:rsidRPr="001A55EC">
              <w:rPr>
                <w:b/>
              </w:rPr>
              <w:t>présentation des résultats</w:t>
            </w:r>
            <w:r w:rsidRPr="00C80607">
              <w:t xml:space="preserve"> du traitement de données ne peut en aucun cas permettre l'identification directe ou indirecte des personnes concernées par la recherche.</w:t>
            </w:r>
          </w:p>
          <w:p w:rsidR="00897781" w:rsidRDefault="00897781" w:rsidP="00993C0E">
            <w:pPr>
              <w:spacing w:after="0" w:line="259" w:lineRule="auto"/>
              <w:ind w:left="720" w:right="0" w:firstLine="0"/>
              <w:jc w:val="left"/>
            </w:pPr>
            <w:r>
              <w:t xml:space="preserve"> </w:t>
            </w:r>
          </w:p>
          <w:p w:rsidR="00897781" w:rsidRDefault="00897781" w:rsidP="00993C0E">
            <w:pPr>
              <w:spacing w:after="0" w:line="259" w:lineRule="auto"/>
              <w:ind w:left="720" w:right="0" w:firstLine="0"/>
              <w:jc w:val="left"/>
            </w:pPr>
            <w:r>
              <w:t xml:space="preserve"> </w:t>
            </w:r>
          </w:p>
        </w:tc>
        <w:tc>
          <w:tcPr>
            <w:tcW w:w="1788" w:type="dxa"/>
            <w:tcBorders>
              <w:top w:val="single" w:sz="4" w:space="0" w:color="004A99"/>
              <w:left w:val="single" w:sz="4" w:space="0" w:color="004A99"/>
              <w:bottom w:val="single" w:sz="4" w:space="0" w:color="004A99"/>
              <w:right w:val="single" w:sz="4" w:space="0" w:color="004A99"/>
            </w:tcBorders>
            <w:vAlign w:val="center"/>
          </w:tcPr>
          <w:p w:rsidR="00897781" w:rsidRDefault="00897781" w:rsidP="00993C0E">
            <w:pPr>
              <w:spacing w:after="157" w:line="259" w:lineRule="auto"/>
              <w:ind w:left="0" w:right="0" w:firstLine="0"/>
              <w:jc w:val="left"/>
            </w:pPr>
            <w:r>
              <w:rPr>
                <w:rFonts w:ascii="MS Gothic" w:eastAsia="MS Gothic" w:hAnsi="MS Gothic" w:cs="MS Gothic"/>
              </w:rPr>
              <w:t>☐</w:t>
            </w:r>
            <w:r>
              <w:t xml:space="preserve"> Vrai </w:t>
            </w:r>
          </w:p>
          <w:p w:rsidR="00897781" w:rsidRDefault="00897781" w:rsidP="00993C0E">
            <w:pPr>
              <w:spacing w:after="0" w:line="259" w:lineRule="auto"/>
              <w:ind w:left="0" w:right="0" w:firstLine="0"/>
              <w:jc w:val="left"/>
            </w:pPr>
            <w:r>
              <w:rPr>
                <w:rFonts w:ascii="MS Gothic" w:eastAsia="MS Gothic" w:hAnsi="MS Gothic" w:cs="MS Gothic"/>
              </w:rPr>
              <w:t>☐</w:t>
            </w:r>
            <w:r>
              <w:t xml:space="preserve"> Faux </w:t>
            </w:r>
          </w:p>
        </w:tc>
        <w:tc>
          <w:tcPr>
            <w:tcW w:w="2089"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left="0" w:right="11" w:firstLine="0"/>
              <w:jc w:val="center"/>
            </w:pPr>
            <w:r>
              <w:t xml:space="preserve"> </w:t>
            </w:r>
          </w:p>
        </w:tc>
      </w:tr>
      <w:tr w:rsidR="00897781" w:rsidTr="00993C0E">
        <w:trPr>
          <w:trHeight w:val="564"/>
        </w:trPr>
        <w:tc>
          <w:tcPr>
            <w:tcW w:w="9734" w:type="dxa"/>
            <w:gridSpan w:val="4"/>
            <w:tcBorders>
              <w:top w:val="single" w:sz="4" w:space="0" w:color="004A99"/>
              <w:left w:val="single" w:sz="4" w:space="0" w:color="004A99"/>
              <w:bottom w:val="single" w:sz="4" w:space="0" w:color="004A99"/>
              <w:right w:val="single" w:sz="4" w:space="0" w:color="004A99"/>
            </w:tcBorders>
            <w:shd w:val="clear" w:color="auto" w:fill="4796EC"/>
            <w:vAlign w:val="center"/>
          </w:tcPr>
          <w:p w:rsidR="00897781" w:rsidRDefault="00897781" w:rsidP="00993C0E">
            <w:pPr>
              <w:spacing w:after="0" w:line="259" w:lineRule="auto"/>
              <w:ind w:left="0" w:right="61" w:firstLine="0"/>
              <w:jc w:val="center"/>
            </w:pPr>
            <w:r>
              <w:rPr>
                <w:rFonts w:ascii="Calibri" w:eastAsia="Calibri" w:hAnsi="Calibri" w:cs="Calibri"/>
                <w:b/>
                <w:color w:val="FFFFFF"/>
                <w:sz w:val="24"/>
              </w:rPr>
              <w:t xml:space="preserve">2.5. Information et droit des personnes concernées </w:t>
            </w:r>
          </w:p>
        </w:tc>
      </w:tr>
      <w:tr w:rsidR="00897781" w:rsidTr="000A0CB7">
        <w:trPr>
          <w:trHeight w:val="2001"/>
        </w:trPr>
        <w:tc>
          <w:tcPr>
            <w:tcW w:w="1412" w:type="dxa"/>
            <w:vMerge w:val="restart"/>
            <w:tcBorders>
              <w:top w:val="single" w:sz="4" w:space="0" w:color="004A99"/>
              <w:left w:val="single" w:sz="4" w:space="0" w:color="004A99"/>
              <w:right w:val="single" w:sz="4" w:space="0" w:color="004A99"/>
            </w:tcBorders>
            <w:shd w:val="clear" w:color="auto" w:fill="4796EC"/>
          </w:tcPr>
          <w:p w:rsidR="00897781" w:rsidRDefault="00897781" w:rsidP="00993C0E">
            <w:pPr>
              <w:spacing w:after="0" w:line="259" w:lineRule="auto"/>
              <w:ind w:left="0" w:right="57" w:firstLine="0"/>
              <w:jc w:val="center"/>
            </w:pPr>
            <w:r>
              <w:rPr>
                <w:rFonts w:ascii="Calibri" w:eastAsia="Calibri" w:hAnsi="Calibri" w:cs="Calibri"/>
                <w:b/>
                <w:color w:val="FFFFFF"/>
                <w:sz w:val="24"/>
              </w:rPr>
              <w:t>2.5.1 et 3.4</w:t>
            </w:r>
          </w:p>
        </w:tc>
        <w:tc>
          <w:tcPr>
            <w:tcW w:w="4445" w:type="dxa"/>
            <w:tcBorders>
              <w:top w:val="single" w:sz="4" w:space="0" w:color="004A99"/>
              <w:left w:val="single" w:sz="4" w:space="0" w:color="004A99"/>
              <w:bottom w:val="single" w:sz="4" w:space="0" w:color="004A99"/>
              <w:right w:val="single" w:sz="4" w:space="0" w:color="004A99"/>
            </w:tcBorders>
            <w:vAlign w:val="center"/>
          </w:tcPr>
          <w:p w:rsidR="00897781" w:rsidRDefault="00897781" w:rsidP="00993C0E">
            <w:pPr>
              <w:spacing w:after="0" w:line="259" w:lineRule="auto"/>
              <w:ind w:right="58"/>
              <w:jc w:val="left"/>
            </w:pPr>
            <w:r w:rsidRPr="00907533">
              <w:rPr>
                <w:u w:val="single"/>
              </w:rPr>
              <w:t>Pour les personnes se prêtant à la recherche</w:t>
            </w:r>
            <w:r>
              <w:t xml:space="preserve"> : </w:t>
            </w:r>
          </w:p>
          <w:p w:rsidR="00897781" w:rsidRDefault="00897781" w:rsidP="00897781">
            <w:pPr>
              <w:numPr>
                <w:ilvl w:val="0"/>
                <w:numId w:val="2"/>
              </w:numPr>
              <w:spacing w:after="0" w:line="259" w:lineRule="auto"/>
              <w:ind w:right="58"/>
              <w:jc w:val="left"/>
            </w:pPr>
            <w:r>
              <w:t xml:space="preserve">- </w:t>
            </w:r>
            <w:r w:rsidRPr="00C80607">
              <w:t xml:space="preserve">Une </w:t>
            </w:r>
            <w:r w:rsidRPr="00C80607">
              <w:rPr>
                <w:b/>
              </w:rPr>
              <w:t>information générale</w:t>
            </w:r>
            <w:r w:rsidRPr="00C80607">
              <w:t> concernant les activités de recherche dans l’établissement doit être assurée auprès des personnes concernées (affichage dans les locaux, mention dans le livret d’accueil, etc.)</w:t>
            </w:r>
          </w:p>
          <w:p w:rsidR="00897781" w:rsidRPr="00C80607" w:rsidRDefault="00897781" w:rsidP="00993C0E">
            <w:pPr>
              <w:spacing w:after="0" w:line="259" w:lineRule="auto"/>
              <w:ind w:left="720" w:right="58" w:firstLine="0"/>
              <w:jc w:val="left"/>
            </w:pPr>
          </w:p>
          <w:p w:rsidR="00897781" w:rsidRDefault="00897781" w:rsidP="00897781">
            <w:pPr>
              <w:numPr>
                <w:ilvl w:val="0"/>
                <w:numId w:val="2"/>
              </w:numPr>
              <w:spacing w:after="0" w:line="259" w:lineRule="auto"/>
              <w:ind w:right="58"/>
              <w:jc w:val="left"/>
            </w:pPr>
            <w:r w:rsidRPr="00C80607">
              <w:t> </w:t>
            </w:r>
            <w:r>
              <w:t xml:space="preserve">- </w:t>
            </w:r>
            <w:r w:rsidRPr="00C80607">
              <w:t xml:space="preserve">A cette information générale s’ajoute </w:t>
            </w:r>
            <w:r w:rsidRPr="00C80607">
              <w:rPr>
                <w:b/>
              </w:rPr>
              <w:t>l’information individuelle</w:t>
            </w:r>
            <w:r w:rsidRPr="00C80607">
              <w:t> du pati</w:t>
            </w:r>
            <w:r>
              <w:t>ent inclus dans les recherches (non-opposition).</w:t>
            </w:r>
          </w:p>
          <w:p w:rsidR="00897781" w:rsidRDefault="00897781" w:rsidP="00993C0E">
            <w:pPr>
              <w:pStyle w:val="Paragraphedeliste"/>
              <w:jc w:val="left"/>
            </w:pPr>
          </w:p>
          <w:p w:rsidR="00897781" w:rsidRPr="00E10E96" w:rsidRDefault="00897781" w:rsidP="00993C0E">
            <w:pPr>
              <w:spacing w:after="0" w:line="259" w:lineRule="auto"/>
              <w:ind w:right="58"/>
              <w:jc w:val="left"/>
              <w:rPr>
                <w:color w:val="FF0000"/>
              </w:rPr>
            </w:pPr>
            <w:r w:rsidRPr="00E10E96">
              <w:rPr>
                <w:color w:val="FF0000"/>
              </w:rPr>
              <w:t>Personnes décédées : traitement des données possibles à condition que la personne concernée ne s’y soit pas opposée de son vivant.</w:t>
            </w:r>
          </w:p>
          <w:p w:rsidR="00897781" w:rsidRDefault="00897781" w:rsidP="00993C0E">
            <w:pPr>
              <w:spacing w:after="0" w:line="259" w:lineRule="auto"/>
              <w:ind w:left="0" w:right="58" w:firstLine="0"/>
              <w:jc w:val="left"/>
            </w:pPr>
          </w:p>
        </w:tc>
        <w:tc>
          <w:tcPr>
            <w:tcW w:w="1788" w:type="dxa"/>
            <w:tcBorders>
              <w:top w:val="single" w:sz="4" w:space="0" w:color="004A99"/>
              <w:left w:val="single" w:sz="4" w:space="0" w:color="004A99"/>
              <w:right w:val="single" w:sz="4" w:space="0" w:color="004A99"/>
            </w:tcBorders>
          </w:tcPr>
          <w:p w:rsidR="00897781" w:rsidRDefault="00897781" w:rsidP="00993C0E">
            <w:pPr>
              <w:spacing w:after="160" w:line="259" w:lineRule="auto"/>
              <w:ind w:left="0" w:right="0" w:firstLine="0"/>
              <w:jc w:val="left"/>
              <w:rPr>
                <w:rFonts w:ascii="MS Gothic" w:eastAsia="MS Gothic" w:hAnsi="MS Gothic" w:cs="MS Gothic"/>
              </w:rPr>
            </w:pPr>
          </w:p>
          <w:p w:rsidR="00897781" w:rsidRDefault="00897781" w:rsidP="00993C0E">
            <w:pPr>
              <w:spacing w:after="160" w:line="259" w:lineRule="auto"/>
              <w:ind w:left="0" w:right="0" w:firstLine="0"/>
              <w:jc w:val="left"/>
              <w:rPr>
                <w:rFonts w:ascii="MS Gothic" w:eastAsia="MS Gothic" w:hAnsi="MS Gothic" w:cs="MS Gothic"/>
              </w:rPr>
            </w:pPr>
          </w:p>
          <w:p w:rsidR="00897781" w:rsidRDefault="00897781" w:rsidP="00993C0E">
            <w:pPr>
              <w:spacing w:after="160" w:line="259" w:lineRule="auto"/>
              <w:ind w:left="0" w:right="0" w:firstLine="0"/>
              <w:jc w:val="left"/>
              <w:rPr>
                <w:rFonts w:ascii="MS Gothic" w:eastAsia="MS Gothic" w:hAnsi="MS Gothic" w:cs="MS Gothic"/>
              </w:rPr>
            </w:pPr>
          </w:p>
          <w:p w:rsidR="00897781" w:rsidRDefault="00897781" w:rsidP="00993C0E">
            <w:pPr>
              <w:spacing w:after="160" w:line="259" w:lineRule="auto"/>
              <w:ind w:left="0" w:right="0" w:firstLine="0"/>
              <w:jc w:val="left"/>
              <w:rPr>
                <w:rFonts w:ascii="MS Gothic" w:eastAsia="MS Gothic" w:hAnsi="MS Gothic" w:cs="MS Gothic"/>
              </w:rPr>
            </w:pPr>
          </w:p>
          <w:p w:rsidR="00897781" w:rsidRDefault="00897781" w:rsidP="00993C0E">
            <w:pPr>
              <w:spacing w:after="160" w:line="259" w:lineRule="auto"/>
              <w:ind w:left="0" w:right="0" w:firstLine="0"/>
              <w:jc w:val="left"/>
              <w:rPr>
                <w:rFonts w:ascii="MS Gothic" w:eastAsia="MS Gothic" w:hAnsi="MS Gothic" w:cs="MS Gothic"/>
              </w:rPr>
            </w:pPr>
          </w:p>
          <w:p w:rsidR="00897781" w:rsidRDefault="00897781" w:rsidP="00993C0E">
            <w:pPr>
              <w:spacing w:after="160" w:line="259" w:lineRule="auto"/>
              <w:ind w:left="0" w:right="0" w:firstLine="0"/>
              <w:jc w:val="left"/>
              <w:rPr>
                <w:rFonts w:ascii="MS Gothic" w:eastAsia="MS Gothic" w:hAnsi="MS Gothic" w:cs="MS Gothic"/>
              </w:rPr>
            </w:pPr>
          </w:p>
          <w:p w:rsidR="00897781" w:rsidRDefault="00897781" w:rsidP="00993C0E">
            <w:pPr>
              <w:spacing w:after="160" w:line="259" w:lineRule="auto"/>
              <w:ind w:left="0" w:right="0" w:firstLine="0"/>
              <w:jc w:val="left"/>
            </w:pPr>
            <w:r>
              <w:rPr>
                <w:rFonts w:ascii="MS Gothic" w:eastAsia="MS Gothic" w:hAnsi="MS Gothic" w:cs="MS Gothic"/>
              </w:rPr>
              <w:t>☐</w:t>
            </w:r>
            <w:r>
              <w:t xml:space="preserve"> Vrai </w:t>
            </w:r>
          </w:p>
          <w:p w:rsidR="00897781" w:rsidRDefault="00897781" w:rsidP="00993C0E">
            <w:pPr>
              <w:spacing w:after="0" w:line="259" w:lineRule="auto"/>
              <w:ind w:left="0" w:right="0" w:firstLine="0"/>
              <w:jc w:val="left"/>
            </w:pPr>
            <w:r>
              <w:rPr>
                <w:rFonts w:ascii="MS Gothic" w:eastAsia="MS Gothic" w:hAnsi="MS Gothic" w:cs="MS Gothic"/>
              </w:rPr>
              <w:t>☐</w:t>
            </w:r>
            <w:r>
              <w:t xml:space="preserve"> Faux </w:t>
            </w:r>
          </w:p>
        </w:tc>
        <w:tc>
          <w:tcPr>
            <w:tcW w:w="2089" w:type="dxa"/>
            <w:vMerge w:val="restart"/>
            <w:tcBorders>
              <w:top w:val="single" w:sz="4" w:space="0" w:color="004A99"/>
              <w:left w:val="single" w:sz="4" w:space="0" w:color="004A99"/>
              <w:right w:val="single" w:sz="4" w:space="0" w:color="004A99"/>
            </w:tcBorders>
          </w:tcPr>
          <w:p w:rsidR="00897781" w:rsidRDefault="00897781" w:rsidP="00993C0E">
            <w:pPr>
              <w:spacing w:after="0" w:line="259" w:lineRule="auto"/>
              <w:ind w:left="0" w:right="11" w:firstLine="0"/>
              <w:jc w:val="center"/>
            </w:pPr>
            <w:r>
              <w:t xml:space="preserve"> </w:t>
            </w:r>
          </w:p>
        </w:tc>
      </w:tr>
      <w:tr w:rsidR="00897781" w:rsidTr="00993C0E">
        <w:trPr>
          <w:trHeight w:val="2910"/>
        </w:trPr>
        <w:tc>
          <w:tcPr>
            <w:tcW w:w="1412" w:type="dxa"/>
            <w:vMerge/>
            <w:tcBorders>
              <w:left w:val="single" w:sz="4" w:space="0" w:color="004A99"/>
              <w:bottom w:val="single" w:sz="4" w:space="0" w:color="004A99"/>
              <w:right w:val="single" w:sz="4" w:space="0" w:color="004A99"/>
            </w:tcBorders>
            <w:shd w:val="clear" w:color="auto" w:fill="4796EC"/>
          </w:tcPr>
          <w:p w:rsidR="00897781" w:rsidRDefault="00897781" w:rsidP="00993C0E">
            <w:pPr>
              <w:spacing w:after="0" w:line="259" w:lineRule="auto"/>
              <w:ind w:left="0" w:right="57" w:firstLine="0"/>
              <w:jc w:val="center"/>
              <w:rPr>
                <w:rFonts w:ascii="Calibri" w:eastAsia="Calibri" w:hAnsi="Calibri" w:cs="Calibri"/>
                <w:b/>
                <w:color w:val="FFFFFF"/>
                <w:sz w:val="24"/>
              </w:rPr>
            </w:pPr>
          </w:p>
        </w:tc>
        <w:tc>
          <w:tcPr>
            <w:tcW w:w="4445" w:type="dxa"/>
            <w:tcBorders>
              <w:top w:val="single" w:sz="4" w:space="0" w:color="004A99"/>
              <w:left w:val="single" w:sz="4" w:space="0" w:color="004A99"/>
              <w:bottom w:val="single" w:sz="4" w:space="0" w:color="004A99"/>
              <w:right w:val="single" w:sz="4" w:space="0" w:color="004A99"/>
            </w:tcBorders>
            <w:vAlign w:val="center"/>
          </w:tcPr>
          <w:p w:rsidR="00897781" w:rsidRDefault="00897781" w:rsidP="00993C0E">
            <w:pPr>
              <w:spacing w:after="0" w:line="259" w:lineRule="auto"/>
              <w:ind w:left="0" w:right="58" w:firstLine="0"/>
              <w:rPr>
                <w:bCs/>
              </w:rPr>
            </w:pPr>
            <w:r w:rsidRPr="00907533">
              <w:rPr>
                <w:u w:val="single"/>
              </w:rPr>
              <w:t xml:space="preserve">Pour </w:t>
            </w:r>
            <w:r w:rsidRPr="00907533">
              <w:rPr>
                <w:bCs/>
                <w:u w:val="single"/>
              </w:rPr>
              <w:t>les professionnels de santé intervenant dans la recherche</w:t>
            </w:r>
            <w:r w:rsidRPr="00C80607">
              <w:rPr>
                <w:bCs/>
              </w:rPr>
              <w:t xml:space="preserve"> :</w:t>
            </w:r>
          </w:p>
          <w:p w:rsidR="00897781" w:rsidRPr="00C80607" w:rsidRDefault="00897781" w:rsidP="00993C0E">
            <w:pPr>
              <w:spacing w:after="0" w:line="259" w:lineRule="auto"/>
              <w:ind w:right="58"/>
            </w:pPr>
          </w:p>
          <w:p w:rsidR="00897781" w:rsidRPr="00CD2462" w:rsidRDefault="00897781" w:rsidP="00993C0E">
            <w:pPr>
              <w:spacing w:after="0" w:line="259" w:lineRule="auto"/>
              <w:ind w:right="58"/>
            </w:pPr>
            <w:r w:rsidRPr="00C80607">
              <w:t xml:space="preserve">L’information est délivrée par une mention figurant sur des documents remis aux personnes concernées ou sur les conventions signées par les professionnels de santé intervenant dans la recherche. </w:t>
            </w:r>
          </w:p>
        </w:tc>
        <w:tc>
          <w:tcPr>
            <w:tcW w:w="1788" w:type="dxa"/>
            <w:tcBorders>
              <w:left w:val="single" w:sz="4" w:space="0" w:color="004A99"/>
              <w:bottom w:val="single" w:sz="4" w:space="0" w:color="004A99"/>
              <w:right w:val="single" w:sz="4" w:space="0" w:color="004A99"/>
            </w:tcBorders>
          </w:tcPr>
          <w:p w:rsidR="00897781" w:rsidRDefault="00897781" w:rsidP="00993C0E">
            <w:pPr>
              <w:spacing w:after="160" w:line="259" w:lineRule="auto"/>
              <w:ind w:left="0" w:right="0" w:firstLine="0"/>
              <w:jc w:val="left"/>
              <w:rPr>
                <w:rFonts w:ascii="MS Gothic" w:eastAsia="MS Gothic" w:hAnsi="MS Gothic" w:cs="MS Gothic"/>
              </w:rPr>
            </w:pPr>
          </w:p>
        </w:tc>
        <w:tc>
          <w:tcPr>
            <w:tcW w:w="2089" w:type="dxa"/>
            <w:vMerge/>
            <w:tcBorders>
              <w:left w:val="single" w:sz="4" w:space="0" w:color="004A99"/>
              <w:bottom w:val="single" w:sz="4" w:space="0" w:color="004A99"/>
              <w:right w:val="single" w:sz="4" w:space="0" w:color="004A99"/>
            </w:tcBorders>
          </w:tcPr>
          <w:p w:rsidR="00897781" w:rsidRDefault="00897781" w:rsidP="00993C0E">
            <w:pPr>
              <w:spacing w:after="0" w:line="259" w:lineRule="auto"/>
              <w:ind w:left="0" w:right="11" w:firstLine="0"/>
              <w:jc w:val="center"/>
            </w:pPr>
          </w:p>
        </w:tc>
      </w:tr>
      <w:tr w:rsidR="00897781" w:rsidTr="00993C0E">
        <w:trPr>
          <w:trHeight w:val="2971"/>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897781" w:rsidRDefault="00897781" w:rsidP="00993C0E">
            <w:pPr>
              <w:spacing w:after="0" w:line="259" w:lineRule="auto"/>
              <w:ind w:left="0" w:right="58" w:firstLine="0"/>
              <w:jc w:val="center"/>
            </w:pPr>
            <w:r>
              <w:rPr>
                <w:rFonts w:ascii="Calibri" w:eastAsia="Calibri" w:hAnsi="Calibri" w:cs="Calibri"/>
                <w:b/>
                <w:color w:val="FFFFFF"/>
                <w:sz w:val="24"/>
              </w:rPr>
              <w:t xml:space="preserve">2.5.2 </w:t>
            </w:r>
          </w:p>
        </w:tc>
        <w:tc>
          <w:tcPr>
            <w:tcW w:w="4445"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right="0"/>
            </w:pPr>
            <w:r w:rsidRPr="00907533">
              <w:rPr>
                <w:u w:val="single"/>
              </w:rPr>
              <w:t>Pour les personnes se prêtant à la recherche</w:t>
            </w:r>
            <w:r>
              <w:t xml:space="preserve"> : </w:t>
            </w:r>
          </w:p>
          <w:p w:rsidR="00897781" w:rsidRDefault="00897781" w:rsidP="00993C0E">
            <w:pPr>
              <w:spacing w:after="0" w:line="259" w:lineRule="auto"/>
              <w:ind w:right="0"/>
            </w:pPr>
          </w:p>
          <w:p w:rsidR="00897781" w:rsidRDefault="00897781" w:rsidP="00993C0E">
            <w:pPr>
              <w:spacing w:after="0" w:line="259" w:lineRule="auto"/>
              <w:ind w:right="0"/>
            </w:pPr>
            <w:r>
              <w:t xml:space="preserve">Les modalités d’exercice des droits des personnes concernées doivent être prévues dans les notes d’information.  </w:t>
            </w:r>
          </w:p>
          <w:p w:rsidR="00897781" w:rsidRDefault="00897781" w:rsidP="00993C0E">
            <w:pPr>
              <w:spacing w:after="0" w:line="259" w:lineRule="auto"/>
              <w:ind w:right="0"/>
            </w:pPr>
          </w:p>
          <w:p w:rsidR="00897781" w:rsidRDefault="00897781" w:rsidP="00993C0E">
            <w:pPr>
              <w:spacing w:after="0" w:line="259" w:lineRule="auto"/>
              <w:ind w:right="0"/>
            </w:pPr>
            <w:r w:rsidRPr="00907533">
              <w:rPr>
                <w:u w:val="single"/>
              </w:rPr>
              <w:t>Pour les professionnels intervenant dans la recherche</w:t>
            </w:r>
            <w:r>
              <w:t xml:space="preserve"> : </w:t>
            </w:r>
          </w:p>
          <w:p w:rsidR="00897781" w:rsidRDefault="00897781" w:rsidP="00993C0E">
            <w:pPr>
              <w:spacing w:after="0" w:line="259" w:lineRule="auto"/>
              <w:ind w:right="0"/>
            </w:pPr>
            <w:r>
              <w:t>Idem</w:t>
            </w:r>
          </w:p>
          <w:p w:rsidR="00897781" w:rsidRDefault="00897781" w:rsidP="00993C0E">
            <w:pPr>
              <w:spacing w:after="0" w:line="259" w:lineRule="auto"/>
              <w:ind w:right="0"/>
            </w:pPr>
          </w:p>
          <w:p w:rsidR="00897781" w:rsidRDefault="00235464" w:rsidP="00993C0E">
            <w:pPr>
              <w:spacing w:after="0" w:line="259" w:lineRule="auto"/>
              <w:ind w:right="0"/>
            </w:pPr>
            <w:r>
              <w:t>Dans les deux cas, l</w:t>
            </w:r>
            <w:r w:rsidR="00897781">
              <w:t>’exercice des droits s’effectue auprès du responsable de traitement.</w:t>
            </w:r>
          </w:p>
        </w:tc>
        <w:tc>
          <w:tcPr>
            <w:tcW w:w="1788"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236" w:line="259" w:lineRule="auto"/>
              <w:ind w:left="0" w:right="0" w:firstLine="0"/>
              <w:jc w:val="left"/>
            </w:pPr>
            <w:r>
              <w:rPr>
                <w:rFonts w:ascii="MS Gothic" w:eastAsia="MS Gothic" w:hAnsi="MS Gothic" w:cs="MS Gothic"/>
              </w:rPr>
              <w:t>☐</w:t>
            </w:r>
            <w:r>
              <w:t xml:space="preserve"> Vrai </w:t>
            </w:r>
          </w:p>
          <w:p w:rsidR="00897781" w:rsidRDefault="00897781" w:rsidP="00993C0E">
            <w:pPr>
              <w:spacing w:after="0" w:line="259" w:lineRule="auto"/>
              <w:ind w:left="0" w:right="0" w:firstLine="0"/>
              <w:jc w:val="left"/>
            </w:pPr>
            <w:r>
              <w:rPr>
                <w:rFonts w:ascii="MS Gothic" w:eastAsia="MS Gothic" w:hAnsi="MS Gothic" w:cs="MS Gothic"/>
              </w:rPr>
              <w:t>☐</w:t>
            </w:r>
            <w:r>
              <w:t xml:space="preserve"> Faux </w:t>
            </w:r>
          </w:p>
        </w:tc>
        <w:tc>
          <w:tcPr>
            <w:tcW w:w="2089"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left="4" w:right="0" w:firstLine="0"/>
              <w:jc w:val="center"/>
            </w:pPr>
            <w:r>
              <w:rPr>
                <w:rFonts w:ascii="Calibri" w:eastAsia="Calibri" w:hAnsi="Calibri" w:cs="Calibri"/>
                <w:b/>
                <w:color w:val="FFFFFF"/>
                <w:sz w:val="24"/>
              </w:rPr>
              <w:t xml:space="preserve"> </w:t>
            </w:r>
          </w:p>
        </w:tc>
      </w:tr>
      <w:tr w:rsidR="00897781" w:rsidTr="00993C0E">
        <w:trPr>
          <w:trHeight w:val="2321"/>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897781" w:rsidRDefault="00897781" w:rsidP="00993C0E">
            <w:pPr>
              <w:spacing w:after="0" w:line="259" w:lineRule="auto"/>
              <w:ind w:left="0" w:right="54" w:firstLine="0"/>
              <w:jc w:val="center"/>
            </w:pPr>
            <w:r>
              <w:rPr>
                <w:rFonts w:ascii="Calibri" w:eastAsia="Calibri" w:hAnsi="Calibri" w:cs="Calibri"/>
                <w:b/>
                <w:color w:val="FFFFFF"/>
                <w:sz w:val="24"/>
              </w:rPr>
              <w:t xml:space="preserve">2.6. </w:t>
            </w:r>
          </w:p>
        </w:tc>
        <w:tc>
          <w:tcPr>
            <w:tcW w:w="4445"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left="0" w:right="0" w:firstLine="0"/>
            </w:pPr>
            <w:r w:rsidRPr="005E3279">
              <w:t>Les données à caractère personnel relatives aux personnes concernées par une recherche et traitées à cette fin ne peuvent être conservées dans les systèmes d'information du responsable de traitement, du centre participant ou du professionnel intervenant dans la recherche que jusqu'à deux ans après la dernière publication des résultats de la recherche ou, en cas d'absence de publication, jusqu'à la signature du rapport final de la recherche. Elles font ensuite l'objet d'un archivage sur support papier ou informatique pour une durée de vingt ans maximum ou pour une durée conforme à la réglementation en vigueur.</w:t>
            </w:r>
          </w:p>
        </w:tc>
        <w:tc>
          <w:tcPr>
            <w:tcW w:w="1788" w:type="dxa"/>
            <w:tcBorders>
              <w:top w:val="single" w:sz="4" w:space="0" w:color="004A99"/>
              <w:left w:val="single" w:sz="4" w:space="0" w:color="004A99"/>
              <w:bottom w:val="single" w:sz="4" w:space="0" w:color="004A99"/>
              <w:right w:val="single" w:sz="4" w:space="0" w:color="004A99"/>
            </w:tcBorders>
            <w:vAlign w:val="center"/>
          </w:tcPr>
          <w:p w:rsidR="00897781" w:rsidRDefault="00897781" w:rsidP="00993C0E">
            <w:pPr>
              <w:spacing w:after="160" w:line="259" w:lineRule="auto"/>
              <w:ind w:left="0" w:right="0" w:firstLine="0"/>
              <w:jc w:val="left"/>
            </w:pPr>
            <w:r>
              <w:rPr>
                <w:rFonts w:ascii="MS Gothic" w:eastAsia="MS Gothic" w:hAnsi="MS Gothic" w:cs="MS Gothic"/>
              </w:rPr>
              <w:t>☐</w:t>
            </w:r>
            <w:r>
              <w:t xml:space="preserve"> Vrai </w:t>
            </w:r>
          </w:p>
          <w:p w:rsidR="00897781" w:rsidRDefault="00897781" w:rsidP="00993C0E">
            <w:pPr>
              <w:spacing w:after="157" w:line="259" w:lineRule="auto"/>
              <w:ind w:left="0" w:right="0" w:firstLine="0"/>
              <w:jc w:val="left"/>
            </w:pPr>
            <w:r>
              <w:rPr>
                <w:rFonts w:ascii="MS Gothic" w:eastAsia="MS Gothic" w:hAnsi="MS Gothic" w:cs="MS Gothic"/>
              </w:rPr>
              <w:t>☐</w:t>
            </w:r>
            <w:r>
              <w:t xml:space="preserve"> Faux  </w:t>
            </w:r>
          </w:p>
        </w:tc>
        <w:tc>
          <w:tcPr>
            <w:tcW w:w="2089"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left="0" w:right="11" w:firstLine="0"/>
              <w:jc w:val="center"/>
            </w:pPr>
            <w:r>
              <w:t xml:space="preserve"> </w:t>
            </w:r>
          </w:p>
        </w:tc>
      </w:tr>
      <w:tr w:rsidR="00897781" w:rsidTr="00993C0E">
        <w:trPr>
          <w:trHeight w:val="414"/>
        </w:trPr>
        <w:tc>
          <w:tcPr>
            <w:tcW w:w="9734" w:type="dxa"/>
            <w:gridSpan w:val="4"/>
            <w:tcBorders>
              <w:top w:val="single" w:sz="4" w:space="0" w:color="004A99"/>
              <w:left w:val="single" w:sz="4" w:space="0" w:color="004A99"/>
              <w:bottom w:val="single" w:sz="4" w:space="0" w:color="004A99"/>
              <w:right w:val="single" w:sz="4" w:space="0" w:color="004A99"/>
            </w:tcBorders>
            <w:shd w:val="clear" w:color="auto" w:fill="4796EC"/>
          </w:tcPr>
          <w:p w:rsidR="00897781" w:rsidRPr="005E3279" w:rsidRDefault="00897781" w:rsidP="00897781">
            <w:pPr>
              <w:pStyle w:val="Paragraphedeliste"/>
              <w:numPr>
                <w:ilvl w:val="0"/>
                <w:numId w:val="3"/>
              </w:numPr>
              <w:spacing w:after="0" w:line="259" w:lineRule="auto"/>
              <w:ind w:right="61"/>
              <w:jc w:val="center"/>
              <w:rPr>
                <w:rFonts w:asciiTheme="minorHAnsi" w:hAnsiTheme="minorHAnsi" w:cstheme="minorHAnsi"/>
                <w:b/>
                <w:sz w:val="24"/>
                <w:szCs w:val="24"/>
              </w:rPr>
            </w:pPr>
            <w:r w:rsidRPr="005E3279">
              <w:rPr>
                <w:rFonts w:asciiTheme="minorHAnsi" w:hAnsiTheme="minorHAnsi" w:cstheme="minorHAnsi"/>
                <w:b/>
                <w:color w:val="FFFFFF" w:themeColor="background1"/>
                <w:sz w:val="24"/>
                <w:szCs w:val="24"/>
              </w:rPr>
              <w:t>Traitement des données des professionnels intervenants dans la recherche</w:t>
            </w:r>
          </w:p>
        </w:tc>
      </w:tr>
      <w:tr w:rsidR="00897781" w:rsidTr="00993C0E">
        <w:trPr>
          <w:trHeight w:val="1121"/>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897781" w:rsidRDefault="00897781" w:rsidP="00993C0E">
            <w:pPr>
              <w:spacing w:after="0" w:line="259" w:lineRule="auto"/>
              <w:ind w:left="0" w:right="54" w:firstLine="0"/>
              <w:jc w:val="center"/>
            </w:pPr>
            <w:r>
              <w:rPr>
                <w:rFonts w:ascii="Calibri" w:eastAsia="Calibri" w:hAnsi="Calibri" w:cs="Calibri"/>
                <w:b/>
                <w:color w:val="FFFFFF"/>
                <w:sz w:val="24"/>
              </w:rPr>
              <w:t xml:space="preserve">3.1. </w:t>
            </w:r>
          </w:p>
        </w:tc>
        <w:tc>
          <w:tcPr>
            <w:tcW w:w="4445"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left="0" w:right="0" w:firstLine="0"/>
            </w:pPr>
            <w:r w:rsidRPr="005E3279">
              <w:t>Les traitements de données des professionnels intervenant dans la recherche doivent avoir pour seule finalité la mise en place, la réalisation de la recherche et le respect des obligations légales du responsable de traitement.</w:t>
            </w:r>
            <w:r>
              <w:t xml:space="preserve"> </w:t>
            </w:r>
          </w:p>
        </w:tc>
        <w:tc>
          <w:tcPr>
            <w:tcW w:w="1788"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236" w:line="259" w:lineRule="auto"/>
              <w:ind w:left="0" w:right="0" w:firstLine="0"/>
              <w:jc w:val="left"/>
            </w:pPr>
            <w:r>
              <w:rPr>
                <w:rFonts w:ascii="MS Gothic" w:eastAsia="MS Gothic" w:hAnsi="MS Gothic" w:cs="MS Gothic"/>
              </w:rPr>
              <w:t>☐</w:t>
            </w:r>
            <w:r>
              <w:t xml:space="preserve"> Vrai </w:t>
            </w:r>
          </w:p>
          <w:p w:rsidR="00897781" w:rsidRDefault="00897781" w:rsidP="00993C0E">
            <w:pPr>
              <w:spacing w:after="0" w:line="259" w:lineRule="auto"/>
              <w:ind w:left="0" w:right="0" w:firstLine="0"/>
              <w:jc w:val="left"/>
            </w:pPr>
            <w:r>
              <w:rPr>
                <w:rFonts w:ascii="MS Gothic" w:eastAsia="MS Gothic" w:hAnsi="MS Gothic" w:cs="MS Gothic"/>
              </w:rPr>
              <w:t>☐</w:t>
            </w:r>
            <w:r>
              <w:t xml:space="preserve"> Faux </w:t>
            </w:r>
          </w:p>
        </w:tc>
        <w:tc>
          <w:tcPr>
            <w:tcW w:w="2089"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left="0" w:right="11" w:firstLine="0"/>
              <w:jc w:val="center"/>
            </w:pPr>
            <w:r>
              <w:t xml:space="preserve"> </w:t>
            </w:r>
          </w:p>
        </w:tc>
      </w:tr>
      <w:tr w:rsidR="00897781" w:rsidTr="00993C0E">
        <w:trPr>
          <w:trHeight w:val="960"/>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897781" w:rsidRDefault="00897781" w:rsidP="00993C0E">
            <w:pPr>
              <w:spacing w:after="0" w:line="259" w:lineRule="auto"/>
              <w:ind w:left="0" w:right="54" w:firstLine="0"/>
              <w:jc w:val="center"/>
            </w:pPr>
            <w:r>
              <w:rPr>
                <w:rFonts w:ascii="Calibri" w:eastAsia="Calibri" w:hAnsi="Calibri" w:cs="Calibri"/>
                <w:b/>
                <w:color w:val="FFFFFF"/>
                <w:sz w:val="24"/>
              </w:rPr>
              <w:t>3.2.1</w:t>
            </w:r>
          </w:p>
        </w:tc>
        <w:tc>
          <w:tcPr>
            <w:tcW w:w="4445" w:type="dxa"/>
            <w:tcBorders>
              <w:top w:val="single" w:sz="4" w:space="0" w:color="004A99"/>
              <w:left w:val="single" w:sz="4" w:space="0" w:color="004A99"/>
              <w:bottom w:val="single" w:sz="4" w:space="0" w:color="004A99"/>
              <w:right w:val="single" w:sz="4" w:space="0" w:color="004A99"/>
            </w:tcBorders>
            <w:vAlign w:val="center"/>
          </w:tcPr>
          <w:p w:rsidR="00897781" w:rsidRDefault="00897781" w:rsidP="00993C0E">
            <w:pPr>
              <w:spacing w:after="0" w:line="259" w:lineRule="auto"/>
              <w:ind w:left="0" w:right="0" w:firstLine="0"/>
            </w:pPr>
            <w:r w:rsidRPr="00907533">
              <w:t>Le suivi des professionnels interv</w:t>
            </w:r>
            <w:r>
              <w:t xml:space="preserve">enant dans la recherche s'opère </w:t>
            </w:r>
            <w:r w:rsidRPr="00907533">
              <w:t>au moyen de données à caractère personnel comportant des données directement identifiantes.</w:t>
            </w:r>
          </w:p>
        </w:tc>
        <w:tc>
          <w:tcPr>
            <w:tcW w:w="1788" w:type="dxa"/>
            <w:tcBorders>
              <w:top w:val="single" w:sz="4" w:space="0" w:color="004A99"/>
              <w:left w:val="single" w:sz="4" w:space="0" w:color="004A99"/>
              <w:bottom w:val="single" w:sz="4" w:space="0" w:color="004A99"/>
              <w:right w:val="single" w:sz="4" w:space="0" w:color="004A99"/>
            </w:tcBorders>
            <w:vAlign w:val="center"/>
          </w:tcPr>
          <w:p w:rsidR="00897781" w:rsidRDefault="00897781" w:rsidP="00993C0E">
            <w:pPr>
              <w:spacing w:after="157" w:line="259" w:lineRule="auto"/>
              <w:ind w:left="0" w:right="0" w:firstLine="0"/>
              <w:jc w:val="left"/>
            </w:pPr>
            <w:r>
              <w:rPr>
                <w:rFonts w:ascii="MS Gothic" w:eastAsia="MS Gothic" w:hAnsi="MS Gothic" w:cs="MS Gothic"/>
              </w:rPr>
              <w:t>☐</w:t>
            </w:r>
            <w:r>
              <w:t xml:space="preserve"> Vrai </w:t>
            </w:r>
          </w:p>
          <w:p w:rsidR="00897781" w:rsidRDefault="00897781" w:rsidP="00993C0E">
            <w:pPr>
              <w:spacing w:after="0" w:line="259" w:lineRule="auto"/>
              <w:ind w:left="0" w:right="0" w:firstLine="0"/>
              <w:jc w:val="left"/>
            </w:pPr>
            <w:r>
              <w:rPr>
                <w:rFonts w:ascii="MS Gothic" w:eastAsia="MS Gothic" w:hAnsi="MS Gothic" w:cs="MS Gothic"/>
              </w:rPr>
              <w:t>☐</w:t>
            </w:r>
            <w:r>
              <w:t xml:space="preserve"> Faux </w:t>
            </w:r>
          </w:p>
        </w:tc>
        <w:tc>
          <w:tcPr>
            <w:tcW w:w="2089"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left="0" w:right="11" w:firstLine="0"/>
              <w:jc w:val="center"/>
            </w:pPr>
            <w:r>
              <w:t xml:space="preserve"> </w:t>
            </w:r>
          </w:p>
        </w:tc>
      </w:tr>
      <w:tr w:rsidR="00897781" w:rsidTr="00993C0E">
        <w:trPr>
          <w:trHeight w:val="1380"/>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897781" w:rsidRDefault="00897781" w:rsidP="00993C0E">
            <w:pPr>
              <w:spacing w:after="0" w:line="259" w:lineRule="auto"/>
              <w:ind w:left="0" w:right="58" w:firstLine="0"/>
              <w:jc w:val="center"/>
            </w:pPr>
            <w:r>
              <w:rPr>
                <w:rFonts w:ascii="Calibri" w:eastAsia="Calibri" w:hAnsi="Calibri" w:cs="Calibri"/>
                <w:b/>
                <w:color w:val="FFFFFF"/>
                <w:sz w:val="24"/>
              </w:rPr>
              <w:t>3.2.2</w:t>
            </w:r>
          </w:p>
        </w:tc>
        <w:tc>
          <w:tcPr>
            <w:tcW w:w="4445" w:type="dxa"/>
            <w:tcBorders>
              <w:top w:val="single" w:sz="4" w:space="0" w:color="004A99"/>
              <w:left w:val="single" w:sz="4" w:space="0" w:color="004A99"/>
              <w:bottom w:val="single" w:sz="4" w:space="0" w:color="004A99"/>
              <w:right w:val="single" w:sz="4" w:space="0" w:color="004A99"/>
            </w:tcBorders>
            <w:vAlign w:val="center"/>
          </w:tcPr>
          <w:p w:rsidR="00897781" w:rsidRDefault="00897781" w:rsidP="00993C0E">
            <w:pPr>
              <w:spacing w:after="0" w:line="259" w:lineRule="auto"/>
              <w:ind w:left="0" w:right="0" w:firstLine="0"/>
            </w:pPr>
            <w:r w:rsidRPr="00907533">
              <w:t>Les données relatives aux professionnels intervenant dans la recherche proviennent des intéressés eux-mêmes, de listes publiques ou de toute autre liste constituée à cette fin dans le respect des dispositions applicables.</w:t>
            </w:r>
          </w:p>
        </w:tc>
        <w:tc>
          <w:tcPr>
            <w:tcW w:w="1788" w:type="dxa"/>
            <w:tcBorders>
              <w:top w:val="single" w:sz="4" w:space="0" w:color="004A99"/>
              <w:left w:val="single" w:sz="4" w:space="0" w:color="004A99"/>
              <w:bottom w:val="single" w:sz="4" w:space="0" w:color="004A99"/>
              <w:right w:val="single" w:sz="4" w:space="0" w:color="004A99"/>
            </w:tcBorders>
            <w:vAlign w:val="center"/>
          </w:tcPr>
          <w:p w:rsidR="00897781" w:rsidRDefault="00897781" w:rsidP="00993C0E">
            <w:pPr>
              <w:spacing w:after="160" w:line="259" w:lineRule="auto"/>
              <w:ind w:left="0" w:right="0" w:firstLine="0"/>
              <w:jc w:val="left"/>
            </w:pPr>
            <w:r>
              <w:rPr>
                <w:rFonts w:ascii="MS Gothic" w:eastAsia="MS Gothic" w:hAnsi="MS Gothic" w:cs="MS Gothic"/>
              </w:rPr>
              <w:t>☐</w:t>
            </w:r>
            <w:r>
              <w:t xml:space="preserve"> Vrai </w:t>
            </w:r>
          </w:p>
          <w:p w:rsidR="00897781" w:rsidRDefault="00897781" w:rsidP="00993C0E">
            <w:pPr>
              <w:spacing w:after="0" w:line="259" w:lineRule="auto"/>
              <w:ind w:left="0" w:right="0" w:firstLine="0"/>
              <w:jc w:val="left"/>
            </w:pPr>
            <w:r>
              <w:rPr>
                <w:rFonts w:ascii="MS Gothic" w:eastAsia="MS Gothic" w:hAnsi="MS Gothic" w:cs="MS Gothic"/>
              </w:rPr>
              <w:t>☐</w:t>
            </w:r>
            <w:r>
              <w:t xml:space="preserve"> Faux </w:t>
            </w:r>
          </w:p>
        </w:tc>
        <w:tc>
          <w:tcPr>
            <w:tcW w:w="2089"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left="0" w:right="11" w:firstLine="0"/>
              <w:jc w:val="center"/>
            </w:pPr>
            <w:r>
              <w:t xml:space="preserve"> </w:t>
            </w:r>
          </w:p>
        </w:tc>
      </w:tr>
      <w:tr w:rsidR="00897781" w:rsidTr="00993C0E">
        <w:trPr>
          <w:trHeight w:val="1040"/>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897781" w:rsidRDefault="00897781" w:rsidP="00993C0E">
            <w:pPr>
              <w:spacing w:after="0" w:line="259" w:lineRule="auto"/>
              <w:ind w:left="0" w:right="58" w:firstLine="0"/>
              <w:jc w:val="center"/>
            </w:pPr>
            <w:r>
              <w:rPr>
                <w:rFonts w:ascii="Calibri" w:eastAsia="Calibri" w:hAnsi="Calibri" w:cs="Calibri"/>
                <w:b/>
                <w:color w:val="FFFFFF"/>
                <w:sz w:val="24"/>
              </w:rPr>
              <w:t xml:space="preserve">3.2.3 </w:t>
            </w:r>
          </w:p>
        </w:tc>
        <w:tc>
          <w:tcPr>
            <w:tcW w:w="4445"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left="0" w:right="0" w:firstLine="0"/>
            </w:pPr>
            <w:r>
              <w:t>Les données traitées sont</w:t>
            </w:r>
            <w:r w:rsidRPr="00907533">
              <w:t xml:space="preserve"> </w:t>
            </w:r>
            <w:r w:rsidRPr="00907533">
              <w:rPr>
                <w:b/>
              </w:rPr>
              <w:t>adéquates, pertinentes et limitées</w:t>
            </w:r>
            <w:r w:rsidRPr="00907533">
              <w:t xml:space="preserve"> à ce qui est strictement nécessaire au rega</w:t>
            </w:r>
            <w:r>
              <w:t xml:space="preserve">rd des finalités du traitement, </w:t>
            </w:r>
            <w:r w:rsidRPr="00907533">
              <w:t>des objectifs de la recherche.</w:t>
            </w:r>
          </w:p>
          <w:p w:rsidR="00897781" w:rsidRDefault="00897781" w:rsidP="00993C0E">
            <w:pPr>
              <w:spacing w:after="0" w:line="259" w:lineRule="auto"/>
              <w:ind w:left="0" w:right="0" w:firstLine="0"/>
              <w:jc w:val="left"/>
            </w:pPr>
          </w:p>
          <w:p w:rsidR="00897781" w:rsidRDefault="00897781" w:rsidP="00993C0E">
            <w:pPr>
              <w:spacing w:after="0" w:line="259" w:lineRule="auto"/>
              <w:ind w:left="0" w:right="0" w:firstLine="0"/>
              <w:jc w:val="left"/>
            </w:pPr>
            <w:r>
              <w:t xml:space="preserve">Données acceptées : </w:t>
            </w:r>
          </w:p>
          <w:p w:rsidR="00897781" w:rsidRDefault="00897781" w:rsidP="00897781">
            <w:pPr>
              <w:pStyle w:val="Paragraphedeliste"/>
              <w:numPr>
                <w:ilvl w:val="0"/>
                <w:numId w:val="1"/>
              </w:numPr>
              <w:spacing w:after="0" w:line="259" w:lineRule="auto"/>
              <w:ind w:right="0"/>
              <w:jc w:val="left"/>
            </w:pPr>
            <w:r>
              <w:t xml:space="preserve">Identité : nom, prénom(s), </w:t>
            </w:r>
            <w:r w:rsidRPr="009B7360">
              <w:t>sexe, adresse, coordonnées professionnelles postales, électroniques et téléphoniques, coordonnées bancaires</w:t>
            </w:r>
            <w:r>
              <w:t xml:space="preserve"> ; </w:t>
            </w:r>
          </w:p>
          <w:p w:rsidR="00897781" w:rsidRDefault="00897781" w:rsidP="00897781">
            <w:pPr>
              <w:pStyle w:val="Paragraphedeliste"/>
              <w:numPr>
                <w:ilvl w:val="0"/>
                <w:numId w:val="1"/>
              </w:numPr>
              <w:spacing w:after="0" w:line="259" w:lineRule="auto"/>
              <w:ind w:right="0"/>
              <w:jc w:val="left"/>
            </w:pPr>
            <w:r>
              <w:t xml:space="preserve">Formation, diplômes ; </w:t>
            </w:r>
          </w:p>
          <w:p w:rsidR="00897781" w:rsidRDefault="00897781" w:rsidP="00897781">
            <w:pPr>
              <w:pStyle w:val="Paragraphedeliste"/>
              <w:numPr>
                <w:ilvl w:val="0"/>
                <w:numId w:val="1"/>
              </w:numPr>
              <w:spacing w:after="0" w:line="259" w:lineRule="auto"/>
              <w:ind w:right="0"/>
              <w:jc w:val="left"/>
            </w:pPr>
            <w:r>
              <w:t xml:space="preserve">Vie professionnelle ; </w:t>
            </w:r>
          </w:p>
          <w:p w:rsidR="00897781" w:rsidRDefault="00897781" w:rsidP="00897781">
            <w:pPr>
              <w:pStyle w:val="Paragraphedeliste"/>
              <w:numPr>
                <w:ilvl w:val="0"/>
                <w:numId w:val="1"/>
              </w:numPr>
              <w:spacing w:after="0" w:line="259" w:lineRule="auto"/>
              <w:ind w:right="0"/>
              <w:jc w:val="left"/>
            </w:pPr>
            <w:r>
              <w:t>N</w:t>
            </w:r>
            <w:r w:rsidRPr="009B7360">
              <w:t>uméro d'identification dans le Répertoire partagé des professionnels de santé</w:t>
            </w:r>
            <w:r>
              <w:t xml:space="preserve"> ; </w:t>
            </w:r>
          </w:p>
          <w:p w:rsidR="00897781" w:rsidRDefault="00897781" w:rsidP="00897781">
            <w:pPr>
              <w:pStyle w:val="Paragraphedeliste"/>
              <w:numPr>
                <w:ilvl w:val="0"/>
                <w:numId w:val="1"/>
              </w:numPr>
              <w:spacing w:after="0" w:line="259" w:lineRule="auto"/>
              <w:ind w:right="0"/>
              <w:jc w:val="left"/>
            </w:pPr>
            <w:r>
              <w:t>M</w:t>
            </w:r>
            <w:r w:rsidRPr="009B7360">
              <w:t>ontant des indemnités et rémunérations perçues ;</w:t>
            </w:r>
          </w:p>
          <w:p w:rsidR="00897781" w:rsidRDefault="00897781" w:rsidP="00897781">
            <w:pPr>
              <w:pStyle w:val="Paragraphedeliste"/>
              <w:numPr>
                <w:ilvl w:val="0"/>
                <w:numId w:val="1"/>
              </w:numPr>
              <w:spacing w:after="0" w:line="259" w:lineRule="auto"/>
              <w:ind w:right="0"/>
              <w:jc w:val="left"/>
            </w:pPr>
            <w:r>
              <w:t>C</w:t>
            </w:r>
            <w:r w:rsidRPr="009B7360">
              <w:t>ollaboration à d'autres études ;</w:t>
            </w:r>
          </w:p>
          <w:p w:rsidR="00897781" w:rsidRDefault="00897781" w:rsidP="00897781">
            <w:pPr>
              <w:pStyle w:val="Paragraphedeliste"/>
              <w:numPr>
                <w:ilvl w:val="0"/>
                <w:numId w:val="1"/>
              </w:numPr>
              <w:spacing w:after="0" w:line="259" w:lineRule="auto"/>
              <w:ind w:right="0"/>
              <w:jc w:val="left"/>
            </w:pPr>
            <w:r>
              <w:t>H</w:t>
            </w:r>
            <w:r w:rsidRPr="009B7360">
              <w:t>istorique des accès et des connexions aux données médicales des personnes participant à une recherche</w:t>
            </w:r>
            <w:r>
              <w:t>.</w:t>
            </w:r>
          </w:p>
        </w:tc>
        <w:tc>
          <w:tcPr>
            <w:tcW w:w="1788"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157" w:line="259" w:lineRule="auto"/>
              <w:ind w:left="0" w:right="0" w:firstLine="0"/>
              <w:jc w:val="left"/>
            </w:pPr>
            <w:r>
              <w:rPr>
                <w:rFonts w:ascii="MS Gothic" w:eastAsia="MS Gothic" w:hAnsi="MS Gothic" w:cs="MS Gothic"/>
              </w:rPr>
              <w:t>☐</w:t>
            </w:r>
            <w:r>
              <w:t xml:space="preserve"> Vrai </w:t>
            </w:r>
          </w:p>
          <w:p w:rsidR="00897781" w:rsidRDefault="00897781" w:rsidP="00993C0E">
            <w:pPr>
              <w:spacing w:after="0" w:line="259" w:lineRule="auto"/>
              <w:ind w:left="0" w:right="0" w:firstLine="0"/>
              <w:jc w:val="left"/>
            </w:pPr>
            <w:r>
              <w:rPr>
                <w:rFonts w:ascii="MS Gothic" w:eastAsia="MS Gothic" w:hAnsi="MS Gothic" w:cs="MS Gothic"/>
              </w:rPr>
              <w:t>☐</w:t>
            </w:r>
            <w:r>
              <w:t xml:space="preserve"> Faux </w:t>
            </w:r>
          </w:p>
        </w:tc>
        <w:tc>
          <w:tcPr>
            <w:tcW w:w="2089"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left="0" w:right="11" w:firstLine="0"/>
              <w:jc w:val="center"/>
            </w:pPr>
            <w:r>
              <w:t xml:space="preserve"> </w:t>
            </w:r>
          </w:p>
        </w:tc>
      </w:tr>
      <w:tr w:rsidR="00897781" w:rsidTr="00993C0E">
        <w:trPr>
          <w:trHeight w:val="1040"/>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897781" w:rsidRDefault="00897781" w:rsidP="00993C0E">
            <w:pPr>
              <w:spacing w:after="0" w:line="259" w:lineRule="auto"/>
              <w:ind w:left="0" w:right="58" w:firstLine="0"/>
              <w:jc w:val="center"/>
              <w:rPr>
                <w:rFonts w:ascii="Calibri" w:eastAsia="Calibri" w:hAnsi="Calibri" w:cs="Calibri"/>
                <w:b/>
                <w:color w:val="FFFFFF"/>
                <w:sz w:val="24"/>
              </w:rPr>
            </w:pPr>
            <w:r>
              <w:rPr>
                <w:rFonts w:ascii="Calibri" w:eastAsia="Calibri" w:hAnsi="Calibri" w:cs="Calibri"/>
                <w:b/>
                <w:color w:val="FFFFFF"/>
                <w:sz w:val="24"/>
              </w:rPr>
              <w:t>3.3</w:t>
            </w:r>
          </w:p>
        </w:tc>
        <w:tc>
          <w:tcPr>
            <w:tcW w:w="4445"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left="0" w:right="0" w:firstLine="0"/>
              <w:jc w:val="left"/>
            </w:pPr>
            <w:r>
              <w:t xml:space="preserve">Destinataires des données : </w:t>
            </w:r>
          </w:p>
          <w:p w:rsidR="00897781" w:rsidRDefault="00897781" w:rsidP="00993C0E">
            <w:pPr>
              <w:spacing w:after="0" w:line="259" w:lineRule="auto"/>
              <w:ind w:left="0" w:right="0" w:firstLine="0"/>
              <w:jc w:val="left"/>
            </w:pPr>
          </w:p>
          <w:p w:rsidR="00897781" w:rsidRDefault="00897781" w:rsidP="00993C0E">
            <w:pPr>
              <w:spacing w:after="0" w:line="259" w:lineRule="auto"/>
              <w:ind w:left="0" w:right="0" w:firstLine="0"/>
              <w:jc w:val="left"/>
            </w:pPr>
            <w:r w:rsidRPr="00907533">
              <w:t>- le responsable de traitement, et ses sous-traitants y compris les administrateurs systèmes et les responsables de la sécurité du système d'information ;</w:t>
            </w:r>
            <w:r w:rsidRPr="00907533">
              <w:br/>
              <w:t>- le responsable scientifique de la recherche et ses collaborateurs ;</w:t>
            </w:r>
            <w:r w:rsidRPr="00907533">
              <w:br/>
              <w:t>- les professionnels intervenant dans la recherche, et les personnels agissant sous leur surveillance ou sous leur autorité ;</w:t>
            </w:r>
            <w:r w:rsidRPr="00907533">
              <w:br/>
              <w:t xml:space="preserve">- les personnes chargées des affaires réglementaires et de l'enregistrement de la </w:t>
            </w:r>
            <w:r>
              <w:t xml:space="preserve">recherche </w:t>
            </w:r>
            <w:r w:rsidRPr="00907533">
              <w:t>;</w:t>
            </w:r>
            <w:r w:rsidRPr="00907533">
              <w:br/>
              <w:t>- le personnel des sociétés du groupe auquel appartient le responsable de traitement ;</w:t>
            </w:r>
            <w:r w:rsidRPr="00907533">
              <w:br/>
              <w:t>- le personnel d'autorités sanitaires et d'autorités publiques de contrôle légalement habilité ;</w:t>
            </w:r>
            <w:r w:rsidRPr="00907533">
              <w:br/>
              <w:t>- le personnel habilité agissant sous la responsabilité de l'organisme d'assurance garantissant la responsabilité civile du responsable de traitement.</w:t>
            </w:r>
          </w:p>
        </w:tc>
        <w:tc>
          <w:tcPr>
            <w:tcW w:w="1788"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157" w:line="259" w:lineRule="auto"/>
              <w:ind w:left="0" w:right="0" w:firstLine="0"/>
              <w:jc w:val="left"/>
            </w:pPr>
            <w:r>
              <w:rPr>
                <w:rFonts w:ascii="MS Gothic" w:eastAsia="MS Gothic" w:hAnsi="MS Gothic" w:cs="MS Gothic"/>
              </w:rPr>
              <w:t>☐</w:t>
            </w:r>
            <w:r>
              <w:t xml:space="preserve"> Vrai </w:t>
            </w:r>
          </w:p>
          <w:p w:rsidR="00897781" w:rsidRDefault="00897781" w:rsidP="00993C0E">
            <w:pPr>
              <w:spacing w:after="157" w:line="259" w:lineRule="auto"/>
              <w:ind w:left="0" w:right="0" w:firstLine="0"/>
              <w:jc w:val="left"/>
              <w:rPr>
                <w:rFonts w:ascii="MS Gothic" w:eastAsia="MS Gothic" w:hAnsi="MS Gothic" w:cs="MS Gothic"/>
              </w:rPr>
            </w:pPr>
            <w:r>
              <w:rPr>
                <w:rFonts w:ascii="MS Gothic" w:eastAsia="MS Gothic" w:hAnsi="MS Gothic" w:cs="MS Gothic"/>
              </w:rPr>
              <w:t>☐</w:t>
            </w:r>
            <w:r>
              <w:t xml:space="preserve"> Faux</w:t>
            </w:r>
          </w:p>
        </w:tc>
        <w:tc>
          <w:tcPr>
            <w:tcW w:w="2089"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left="0" w:right="11" w:firstLine="0"/>
              <w:jc w:val="center"/>
            </w:pPr>
          </w:p>
        </w:tc>
      </w:tr>
      <w:tr w:rsidR="00897781" w:rsidTr="00993C0E">
        <w:trPr>
          <w:trHeight w:val="537"/>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897781" w:rsidRDefault="00897781" w:rsidP="00993C0E">
            <w:pPr>
              <w:spacing w:after="0" w:line="259" w:lineRule="auto"/>
              <w:ind w:left="0" w:right="58" w:firstLine="0"/>
              <w:jc w:val="center"/>
              <w:rPr>
                <w:rFonts w:ascii="Calibri" w:eastAsia="Calibri" w:hAnsi="Calibri" w:cs="Calibri"/>
                <w:b/>
                <w:color w:val="FFFFFF"/>
                <w:sz w:val="24"/>
              </w:rPr>
            </w:pPr>
            <w:r>
              <w:rPr>
                <w:rFonts w:ascii="Calibri" w:eastAsia="Calibri" w:hAnsi="Calibri" w:cs="Calibri"/>
                <w:b/>
                <w:color w:val="FFFFFF"/>
                <w:sz w:val="24"/>
              </w:rPr>
              <w:t>3.4 et suiv.</w:t>
            </w:r>
          </w:p>
        </w:tc>
        <w:tc>
          <w:tcPr>
            <w:tcW w:w="4445"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left="0" w:right="0" w:firstLine="0"/>
              <w:jc w:val="left"/>
            </w:pPr>
            <w:r>
              <w:t>V. 2.5.2</w:t>
            </w:r>
          </w:p>
        </w:tc>
        <w:tc>
          <w:tcPr>
            <w:tcW w:w="1788" w:type="dxa"/>
            <w:tcBorders>
              <w:top w:val="single" w:sz="4" w:space="0" w:color="004A99"/>
              <w:left w:val="single" w:sz="4" w:space="0" w:color="004A99"/>
              <w:bottom w:val="single" w:sz="4" w:space="0" w:color="004A99"/>
              <w:right w:val="single" w:sz="4" w:space="0" w:color="004A99"/>
            </w:tcBorders>
          </w:tcPr>
          <w:p w:rsidR="00C537E3" w:rsidRDefault="00C537E3" w:rsidP="00C537E3">
            <w:pPr>
              <w:spacing w:after="160" w:line="259" w:lineRule="auto"/>
              <w:ind w:left="0" w:right="0" w:firstLine="0"/>
              <w:jc w:val="left"/>
            </w:pPr>
            <w:r>
              <w:rPr>
                <w:rFonts w:ascii="MS Gothic" w:eastAsia="MS Gothic" w:hAnsi="MS Gothic" w:cs="MS Gothic"/>
              </w:rPr>
              <w:t>☐</w:t>
            </w:r>
            <w:r>
              <w:t xml:space="preserve"> Vrai </w:t>
            </w:r>
          </w:p>
          <w:p w:rsidR="00897781" w:rsidRDefault="00C537E3" w:rsidP="00C537E3">
            <w:pPr>
              <w:spacing w:after="157" w:line="259" w:lineRule="auto"/>
              <w:ind w:left="0" w:right="0" w:firstLine="0"/>
              <w:jc w:val="left"/>
              <w:rPr>
                <w:rFonts w:ascii="MS Gothic" w:eastAsia="MS Gothic" w:hAnsi="MS Gothic" w:cs="MS Gothic"/>
              </w:rPr>
            </w:pPr>
            <w:r>
              <w:rPr>
                <w:rFonts w:ascii="MS Gothic" w:eastAsia="MS Gothic" w:hAnsi="MS Gothic" w:cs="MS Gothic"/>
              </w:rPr>
              <w:t>☐</w:t>
            </w:r>
            <w:r>
              <w:t xml:space="preserve"> Faux</w:t>
            </w:r>
          </w:p>
        </w:tc>
        <w:tc>
          <w:tcPr>
            <w:tcW w:w="2089"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left="0" w:right="11" w:firstLine="0"/>
              <w:jc w:val="center"/>
            </w:pPr>
          </w:p>
        </w:tc>
      </w:tr>
      <w:tr w:rsidR="00897781" w:rsidTr="00C537E3">
        <w:trPr>
          <w:trHeight w:val="825"/>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897781" w:rsidRDefault="00897781" w:rsidP="00993C0E">
            <w:pPr>
              <w:spacing w:after="0" w:line="259" w:lineRule="auto"/>
              <w:ind w:left="0" w:right="58" w:firstLine="0"/>
              <w:jc w:val="center"/>
              <w:rPr>
                <w:rFonts w:ascii="Calibri" w:eastAsia="Calibri" w:hAnsi="Calibri" w:cs="Calibri"/>
                <w:b/>
                <w:color w:val="FFFFFF"/>
                <w:sz w:val="24"/>
              </w:rPr>
            </w:pPr>
            <w:r>
              <w:rPr>
                <w:rFonts w:ascii="Calibri" w:eastAsia="Calibri" w:hAnsi="Calibri" w:cs="Calibri"/>
                <w:b/>
                <w:color w:val="FFFFFF"/>
                <w:sz w:val="24"/>
              </w:rPr>
              <w:t>3.5</w:t>
            </w:r>
          </w:p>
        </w:tc>
        <w:tc>
          <w:tcPr>
            <w:tcW w:w="4445"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left="0" w:right="0" w:firstLine="0"/>
            </w:pPr>
            <w:r w:rsidRPr="002F6EAA">
              <w:t>Les données à caractère personnel des professionnels intervenant dans la recherche ne peuvent être conservées au-delà d'un délai de quinze ans après la fin de la dernière recherche à laquelle ils ont participé.</w:t>
            </w:r>
          </w:p>
          <w:p w:rsidR="00897781" w:rsidRDefault="00897781" w:rsidP="00993C0E">
            <w:pPr>
              <w:spacing w:after="0" w:line="259" w:lineRule="auto"/>
              <w:ind w:left="0" w:right="0" w:firstLine="0"/>
            </w:pPr>
            <w:r w:rsidRPr="002F6EAA">
              <w:br/>
              <w:t>Elles font ensuite l'objet d'un archivage sur support papier ou informatique pour une durée conforme à la réglementation en vigueur.</w:t>
            </w:r>
            <w:r>
              <w:t xml:space="preserve"> </w:t>
            </w:r>
          </w:p>
        </w:tc>
        <w:tc>
          <w:tcPr>
            <w:tcW w:w="1788"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160" w:line="259" w:lineRule="auto"/>
              <w:ind w:left="0" w:right="0" w:firstLine="0"/>
              <w:jc w:val="left"/>
            </w:pPr>
            <w:r>
              <w:rPr>
                <w:rFonts w:ascii="MS Gothic" w:eastAsia="MS Gothic" w:hAnsi="MS Gothic" w:cs="MS Gothic"/>
              </w:rPr>
              <w:t>☐</w:t>
            </w:r>
            <w:r>
              <w:t xml:space="preserve"> Vrai </w:t>
            </w:r>
          </w:p>
          <w:p w:rsidR="00897781" w:rsidRDefault="00897781" w:rsidP="00993C0E">
            <w:pPr>
              <w:spacing w:after="157" w:line="259" w:lineRule="auto"/>
              <w:ind w:right="0"/>
              <w:jc w:val="left"/>
              <w:rPr>
                <w:rFonts w:ascii="MS Gothic" w:eastAsia="MS Gothic" w:hAnsi="MS Gothic" w:cs="MS Gothic"/>
              </w:rPr>
            </w:pPr>
            <w:r>
              <w:rPr>
                <w:rFonts w:ascii="MS Gothic" w:eastAsia="MS Gothic" w:hAnsi="MS Gothic" w:cs="MS Gothic"/>
              </w:rPr>
              <w:t>☐</w:t>
            </w:r>
            <w:r>
              <w:t xml:space="preserve"> Faux</w:t>
            </w:r>
          </w:p>
        </w:tc>
        <w:tc>
          <w:tcPr>
            <w:tcW w:w="2089"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left="0" w:right="11" w:firstLine="0"/>
              <w:jc w:val="center"/>
            </w:pPr>
          </w:p>
        </w:tc>
      </w:tr>
      <w:tr w:rsidR="00897781" w:rsidTr="00C537E3">
        <w:trPr>
          <w:cantSplit/>
          <w:trHeight w:val="380"/>
        </w:trPr>
        <w:tc>
          <w:tcPr>
            <w:tcW w:w="9734" w:type="dxa"/>
            <w:gridSpan w:val="4"/>
            <w:tcBorders>
              <w:top w:val="single" w:sz="4" w:space="0" w:color="004A99"/>
              <w:left w:val="single" w:sz="4" w:space="0" w:color="004A99"/>
              <w:bottom w:val="single" w:sz="4" w:space="0" w:color="004A99"/>
              <w:right w:val="single" w:sz="4" w:space="0" w:color="004A99"/>
            </w:tcBorders>
            <w:shd w:val="clear" w:color="auto" w:fill="4796EC"/>
            <w:vAlign w:val="center"/>
          </w:tcPr>
          <w:p w:rsidR="00897781" w:rsidRDefault="00897781" w:rsidP="00897781">
            <w:pPr>
              <w:pStyle w:val="Paragraphedeliste"/>
              <w:numPr>
                <w:ilvl w:val="0"/>
                <w:numId w:val="3"/>
              </w:numPr>
              <w:spacing w:after="0" w:line="259" w:lineRule="auto"/>
              <w:ind w:right="0"/>
              <w:jc w:val="center"/>
            </w:pPr>
            <w:r>
              <w:rPr>
                <w:rFonts w:ascii="Calibri" w:eastAsia="Calibri" w:hAnsi="Calibri" w:cs="Calibri"/>
                <w:b/>
                <w:color w:val="FFFFFF"/>
                <w:sz w:val="24"/>
              </w:rPr>
              <w:t>Mise en œuvre et sécurité</w:t>
            </w:r>
          </w:p>
        </w:tc>
      </w:tr>
      <w:tr w:rsidR="00897781" w:rsidTr="00C537E3">
        <w:trPr>
          <w:cantSplit/>
          <w:trHeight w:val="1380"/>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897781" w:rsidRDefault="00897781" w:rsidP="00993C0E">
            <w:pPr>
              <w:spacing w:after="0" w:line="259" w:lineRule="auto"/>
              <w:ind w:left="0" w:right="58" w:firstLine="0"/>
              <w:jc w:val="center"/>
            </w:pPr>
            <w:r>
              <w:rPr>
                <w:rFonts w:ascii="Calibri" w:eastAsia="Calibri" w:hAnsi="Calibri" w:cs="Calibri"/>
                <w:b/>
                <w:color w:val="FFFFFF"/>
                <w:sz w:val="24"/>
              </w:rPr>
              <w:t>4.</w:t>
            </w:r>
          </w:p>
        </w:tc>
        <w:tc>
          <w:tcPr>
            <w:tcW w:w="4445" w:type="dxa"/>
            <w:tcBorders>
              <w:top w:val="single" w:sz="4" w:space="0" w:color="004A99"/>
              <w:left w:val="single" w:sz="4" w:space="0" w:color="004A99"/>
              <w:bottom w:val="single" w:sz="4" w:space="0" w:color="004A99"/>
              <w:right w:val="single" w:sz="4" w:space="0" w:color="004A99"/>
            </w:tcBorders>
            <w:vAlign w:val="center"/>
          </w:tcPr>
          <w:p w:rsidR="00897781" w:rsidRDefault="00897781" w:rsidP="00993C0E">
            <w:pPr>
              <w:spacing w:after="0" w:line="259" w:lineRule="auto"/>
              <w:ind w:left="0" w:right="13" w:firstLine="0"/>
            </w:pPr>
            <w:r w:rsidRPr="002F6EAA">
              <w:t>Les mesures de sécurité sont mises en œuvre conformément à la politique de sécurité des systèmes d’information (PSSI)</w:t>
            </w:r>
            <w:r>
              <w:t xml:space="preserve"> de GR.</w:t>
            </w:r>
          </w:p>
        </w:tc>
        <w:tc>
          <w:tcPr>
            <w:tcW w:w="1788"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160" w:line="259" w:lineRule="auto"/>
              <w:ind w:left="0" w:right="0" w:firstLine="0"/>
              <w:jc w:val="left"/>
            </w:pPr>
            <w:r>
              <w:rPr>
                <w:rFonts w:ascii="MS Gothic" w:eastAsia="MS Gothic" w:hAnsi="MS Gothic" w:cs="MS Gothic"/>
              </w:rPr>
              <w:t>☐</w:t>
            </w:r>
            <w:r>
              <w:t xml:space="preserve"> Vrai </w:t>
            </w:r>
          </w:p>
          <w:p w:rsidR="00897781" w:rsidRDefault="00897781" w:rsidP="00993C0E">
            <w:pPr>
              <w:spacing w:after="0" w:line="259" w:lineRule="auto"/>
              <w:ind w:left="0" w:right="0" w:firstLine="0"/>
              <w:jc w:val="left"/>
            </w:pPr>
            <w:r>
              <w:rPr>
                <w:rFonts w:ascii="MS Gothic" w:eastAsia="MS Gothic" w:hAnsi="MS Gothic" w:cs="MS Gothic"/>
              </w:rPr>
              <w:t>☐</w:t>
            </w:r>
            <w:r>
              <w:t xml:space="preserve"> Faux </w:t>
            </w:r>
          </w:p>
        </w:tc>
        <w:tc>
          <w:tcPr>
            <w:tcW w:w="2089"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left="0" w:right="11" w:firstLine="0"/>
              <w:jc w:val="center"/>
            </w:pPr>
            <w:r>
              <w:t xml:space="preserve"> </w:t>
            </w:r>
          </w:p>
        </w:tc>
      </w:tr>
      <w:tr w:rsidR="00897781" w:rsidTr="00C537E3">
        <w:trPr>
          <w:cantSplit/>
          <w:trHeight w:val="926"/>
        </w:trPr>
        <w:tc>
          <w:tcPr>
            <w:tcW w:w="1412" w:type="dxa"/>
            <w:tcBorders>
              <w:top w:val="single" w:sz="4" w:space="0" w:color="004A99"/>
              <w:left w:val="single" w:sz="4" w:space="0" w:color="004A99"/>
              <w:bottom w:val="single" w:sz="4" w:space="0" w:color="004A99"/>
              <w:right w:val="single" w:sz="4" w:space="0" w:color="004A99"/>
            </w:tcBorders>
            <w:shd w:val="clear" w:color="auto" w:fill="4796EC"/>
            <w:vAlign w:val="center"/>
          </w:tcPr>
          <w:p w:rsidR="00897781" w:rsidRDefault="00897781" w:rsidP="00993C0E">
            <w:pPr>
              <w:spacing w:after="0" w:line="259" w:lineRule="auto"/>
              <w:ind w:left="0" w:right="56" w:firstLine="0"/>
              <w:jc w:val="center"/>
            </w:pPr>
            <w:r>
              <w:rPr>
                <w:rFonts w:ascii="Calibri" w:eastAsia="Calibri" w:hAnsi="Calibri" w:cs="Calibri"/>
                <w:b/>
                <w:color w:val="FFFFFF"/>
                <w:sz w:val="24"/>
              </w:rPr>
              <w:t>4</w:t>
            </w:r>
            <w:r w:rsidR="00235464">
              <w:rPr>
                <w:rFonts w:ascii="Calibri" w:eastAsia="Calibri" w:hAnsi="Calibri" w:cs="Calibri"/>
                <w:b/>
                <w:color w:val="FFFFFF"/>
                <w:sz w:val="24"/>
              </w:rPr>
              <w:t>.</w:t>
            </w:r>
          </w:p>
        </w:tc>
        <w:tc>
          <w:tcPr>
            <w:tcW w:w="4445" w:type="dxa"/>
            <w:tcBorders>
              <w:top w:val="single" w:sz="4" w:space="0" w:color="004A99"/>
              <w:left w:val="single" w:sz="4" w:space="0" w:color="004A99"/>
              <w:bottom w:val="single" w:sz="4" w:space="0" w:color="004A99"/>
              <w:right w:val="single" w:sz="4" w:space="0" w:color="004A99"/>
            </w:tcBorders>
            <w:vAlign w:val="center"/>
          </w:tcPr>
          <w:p w:rsidR="00897781" w:rsidRDefault="00FE6FDB" w:rsidP="00993C0E">
            <w:pPr>
              <w:spacing w:after="0" w:line="259" w:lineRule="auto"/>
              <w:ind w:left="0" w:right="0" w:firstLine="0"/>
            </w:pPr>
            <w:r>
              <w:t>Si nécessaire, u</w:t>
            </w:r>
            <w:r w:rsidR="00897781">
              <w:t xml:space="preserve">ne analyse d’impact sur la protection des données complète et répondant aux exigences de l’article 35 du RGPD a été réalisée.   </w:t>
            </w:r>
          </w:p>
        </w:tc>
        <w:tc>
          <w:tcPr>
            <w:tcW w:w="1788" w:type="dxa"/>
            <w:tcBorders>
              <w:top w:val="single" w:sz="4" w:space="0" w:color="004A99"/>
              <w:left w:val="single" w:sz="4" w:space="0" w:color="004A99"/>
              <w:bottom w:val="single" w:sz="4" w:space="0" w:color="004A99"/>
              <w:right w:val="single" w:sz="4" w:space="0" w:color="004A99"/>
            </w:tcBorders>
            <w:vAlign w:val="center"/>
          </w:tcPr>
          <w:p w:rsidR="00897781" w:rsidRDefault="00897781" w:rsidP="00993C0E">
            <w:pPr>
              <w:spacing w:after="119" w:line="259" w:lineRule="auto"/>
              <w:ind w:left="0" w:right="0" w:firstLine="0"/>
              <w:jc w:val="left"/>
            </w:pPr>
            <w:r>
              <w:rPr>
                <w:rFonts w:ascii="MS Gothic" w:eastAsia="MS Gothic" w:hAnsi="MS Gothic" w:cs="MS Gothic"/>
              </w:rPr>
              <w:t>☐</w:t>
            </w:r>
            <w:r>
              <w:t xml:space="preserve"> Vrai </w:t>
            </w:r>
          </w:p>
          <w:p w:rsidR="00897781" w:rsidRDefault="00897781" w:rsidP="00993C0E">
            <w:pPr>
              <w:spacing w:after="0" w:line="259" w:lineRule="auto"/>
              <w:ind w:left="0" w:right="0" w:firstLine="0"/>
              <w:jc w:val="left"/>
            </w:pPr>
            <w:r>
              <w:rPr>
                <w:rFonts w:ascii="MS Gothic" w:eastAsia="MS Gothic" w:hAnsi="MS Gothic" w:cs="MS Gothic"/>
              </w:rPr>
              <w:t>☐</w:t>
            </w:r>
            <w:r>
              <w:t xml:space="preserve"> Faux </w:t>
            </w:r>
          </w:p>
        </w:tc>
        <w:tc>
          <w:tcPr>
            <w:tcW w:w="2089"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left="0" w:right="0" w:firstLine="0"/>
              <w:jc w:val="left"/>
            </w:pPr>
            <w:r>
              <w:t xml:space="preserve"> </w:t>
            </w:r>
          </w:p>
        </w:tc>
      </w:tr>
      <w:tr w:rsidR="00897781" w:rsidTr="00C537E3">
        <w:trPr>
          <w:cantSplit/>
          <w:trHeight w:val="1379"/>
        </w:trPr>
        <w:tc>
          <w:tcPr>
            <w:tcW w:w="1412" w:type="dxa"/>
            <w:tcBorders>
              <w:top w:val="single" w:sz="4" w:space="0" w:color="004A99"/>
              <w:left w:val="single" w:sz="4" w:space="0" w:color="004A99"/>
              <w:bottom w:val="single" w:sz="4" w:space="0" w:color="004A99"/>
              <w:right w:val="single" w:sz="4" w:space="0" w:color="004A99"/>
            </w:tcBorders>
            <w:shd w:val="clear" w:color="auto" w:fill="4796EC"/>
            <w:vAlign w:val="center"/>
          </w:tcPr>
          <w:p w:rsidR="00897781" w:rsidRDefault="00897781" w:rsidP="00993C0E">
            <w:pPr>
              <w:spacing w:after="0" w:line="259" w:lineRule="auto"/>
              <w:ind w:left="0" w:right="56" w:firstLine="0"/>
              <w:jc w:val="center"/>
            </w:pPr>
            <w:r>
              <w:rPr>
                <w:rFonts w:ascii="Calibri" w:eastAsia="Calibri" w:hAnsi="Calibri" w:cs="Calibri"/>
                <w:b/>
                <w:color w:val="FFFFFF"/>
                <w:sz w:val="24"/>
              </w:rPr>
              <w:t>4</w:t>
            </w:r>
            <w:r w:rsidR="00235464">
              <w:rPr>
                <w:rFonts w:ascii="Calibri" w:eastAsia="Calibri" w:hAnsi="Calibri" w:cs="Calibri"/>
                <w:b/>
                <w:color w:val="FFFFFF"/>
                <w:sz w:val="24"/>
              </w:rPr>
              <w:t>.</w:t>
            </w:r>
            <w:r>
              <w:rPr>
                <w:rFonts w:ascii="Calibri" w:eastAsia="Calibri" w:hAnsi="Calibri" w:cs="Calibri"/>
                <w:b/>
                <w:color w:val="FFFFFF"/>
                <w:sz w:val="24"/>
              </w:rPr>
              <w:t xml:space="preserve"> </w:t>
            </w:r>
          </w:p>
        </w:tc>
        <w:tc>
          <w:tcPr>
            <w:tcW w:w="4445" w:type="dxa"/>
            <w:tcBorders>
              <w:top w:val="single" w:sz="4" w:space="0" w:color="004A99"/>
              <w:left w:val="single" w:sz="4" w:space="0" w:color="004A99"/>
              <w:bottom w:val="single" w:sz="4" w:space="0" w:color="004A99"/>
              <w:right w:val="single" w:sz="4" w:space="0" w:color="004A99"/>
            </w:tcBorders>
            <w:vAlign w:val="center"/>
          </w:tcPr>
          <w:p w:rsidR="00897781" w:rsidRDefault="00897781" w:rsidP="00993C0E">
            <w:pPr>
              <w:spacing w:after="0" w:line="259" w:lineRule="auto"/>
              <w:ind w:left="0" w:right="30" w:firstLine="0"/>
            </w:pPr>
            <w:r>
              <w:t xml:space="preserve">L’analyse d’impact est réexaminée et mise à jour régulièrement, notamment en cas de changement substantiel intervenant dans le traitement ou en cas de nouveaux risques pour les personnes concernées. </w:t>
            </w:r>
          </w:p>
        </w:tc>
        <w:tc>
          <w:tcPr>
            <w:tcW w:w="1788" w:type="dxa"/>
            <w:tcBorders>
              <w:top w:val="single" w:sz="4" w:space="0" w:color="004A99"/>
              <w:left w:val="single" w:sz="4" w:space="0" w:color="004A99"/>
              <w:bottom w:val="single" w:sz="4" w:space="0" w:color="004A99"/>
              <w:right w:val="single" w:sz="4" w:space="0" w:color="004A99"/>
            </w:tcBorders>
            <w:vAlign w:val="center"/>
          </w:tcPr>
          <w:p w:rsidR="00897781" w:rsidRDefault="00897781" w:rsidP="00993C0E">
            <w:pPr>
              <w:spacing w:after="119" w:line="259" w:lineRule="auto"/>
              <w:ind w:left="0" w:right="0" w:firstLine="0"/>
              <w:jc w:val="left"/>
            </w:pPr>
            <w:r>
              <w:rPr>
                <w:rFonts w:ascii="MS Gothic" w:eastAsia="MS Gothic" w:hAnsi="MS Gothic" w:cs="MS Gothic"/>
              </w:rPr>
              <w:t>☐</w:t>
            </w:r>
            <w:r>
              <w:t xml:space="preserve"> Vrai </w:t>
            </w:r>
          </w:p>
          <w:p w:rsidR="00897781" w:rsidRDefault="00897781" w:rsidP="00993C0E">
            <w:pPr>
              <w:spacing w:after="0" w:line="259" w:lineRule="auto"/>
              <w:ind w:left="0" w:right="0" w:firstLine="0"/>
              <w:jc w:val="left"/>
            </w:pPr>
            <w:r>
              <w:rPr>
                <w:rFonts w:ascii="MS Gothic" w:eastAsia="MS Gothic" w:hAnsi="MS Gothic" w:cs="MS Gothic"/>
              </w:rPr>
              <w:t>☐</w:t>
            </w:r>
            <w:r>
              <w:t xml:space="preserve"> Faux </w:t>
            </w:r>
          </w:p>
        </w:tc>
        <w:tc>
          <w:tcPr>
            <w:tcW w:w="2089"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left="0" w:right="0" w:firstLine="0"/>
              <w:jc w:val="left"/>
            </w:pPr>
            <w:r>
              <w:rPr>
                <w:i/>
              </w:rPr>
              <w:t xml:space="preserve"> </w:t>
            </w:r>
          </w:p>
        </w:tc>
      </w:tr>
      <w:tr w:rsidR="00897781" w:rsidTr="00C537E3">
        <w:trPr>
          <w:cantSplit/>
          <w:trHeight w:val="353"/>
        </w:trPr>
        <w:tc>
          <w:tcPr>
            <w:tcW w:w="9734" w:type="dxa"/>
            <w:gridSpan w:val="4"/>
            <w:tcBorders>
              <w:top w:val="single" w:sz="4" w:space="0" w:color="004A99"/>
              <w:left w:val="single" w:sz="4" w:space="0" w:color="004A99"/>
              <w:bottom w:val="single" w:sz="4" w:space="0" w:color="004A99"/>
              <w:right w:val="single" w:sz="4" w:space="0" w:color="004A99"/>
            </w:tcBorders>
            <w:shd w:val="clear" w:color="auto" w:fill="4796EC"/>
          </w:tcPr>
          <w:p w:rsidR="00897781" w:rsidRPr="0025247F" w:rsidRDefault="00897781" w:rsidP="00897781">
            <w:pPr>
              <w:pStyle w:val="Paragraphedeliste"/>
              <w:numPr>
                <w:ilvl w:val="0"/>
                <w:numId w:val="3"/>
              </w:numPr>
              <w:spacing w:after="0" w:line="259" w:lineRule="auto"/>
              <w:ind w:right="11"/>
              <w:jc w:val="center"/>
              <w:rPr>
                <w:rFonts w:asciiTheme="minorHAnsi" w:hAnsiTheme="minorHAnsi" w:cstheme="minorHAnsi"/>
                <w:b/>
                <w:sz w:val="24"/>
                <w:szCs w:val="24"/>
              </w:rPr>
            </w:pPr>
            <w:r w:rsidRPr="0025247F">
              <w:rPr>
                <w:rFonts w:asciiTheme="minorHAnsi" w:hAnsiTheme="minorHAnsi" w:cstheme="minorHAnsi"/>
                <w:b/>
                <w:color w:val="FFFFFF" w:themeColor="background1"/>
                <w:sz w:val="24"/>
                <w:szCs w:val="24"/>
              </w:rPr>
              <w:t xml:space="preserve">SNDS  </w:t>
            </w:r>
          </w:p>
        </w:tc>
      </w:tr>
      <w:tr w:rsidR="00897781" w:rsidTr="00C537E3">
        <w:trPr>
          <w:cantSplit/>
          <w:trHeight w:val="1380"/>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897781" w:rsidRDefault="00897781" w:rsidP="00993C0E">
            <w:pPr>
              <w:spacing w:after="0" w:line="259" w:lineRule="auto"/>
              <w:ind w:left="0" w:right="58" w:firstLine="0"/>
              <w:jc w:val="center"/>
              <w:rPr>
                <w:rFonts w:ascii="Calibri" w:eastAsia="Calibri" w:hAnsi="Calibri" w:cs="Calibri"/>
                <w:b/>
                <w:color w:val="FFFFFF"/>
                <w:sz w:val="24"/>
              </w:rPr>
            </w:pPr>
            <w:r>
              <w:rPr>
                <w:rFonts w:ascii="Calibri" w:eastAsia="Calibri" w:hAnsi="Calibri" w:cs="Calibri"/>
                <w:b/>
                <w:color w:val="FFFFFF"/>
                <w:sz w:val="24"/>
              </w:rPr>
              <w:t>5.</w:t>
            </w:r>
          </w:p>
        </w:tc>
        <w:tc>
          <w:tcPr>
            <w:tcW w:w="4445" w:type="dxa"/>
            <w:tcBorders>
              <w:top w:val="single" w:sz="4" w:space="0" w:color="004A99"/>
              <w:left w:val="single" w:sz="4" w:space="0" w:color="004A99"/>
              <w:bottom w:val="single" w:sz="4" w:space="0" w:color="004A99"/>
              <w:right w:val="single" w:sz="4" w:space="0" w:color="004A99"/>
            </w:tcBorders>
            <w:vAlign w:val="center"/>
          </w:tcPr>
          <w:p w:rsidR="00897781" w:rsidRPr="002F6EAA" w:rsidRDefault="00897781" w:rsidP="00993C0E">
            <w:pPr>
              <w:spacing w:after="0" w:line="259" w:lineRule="auto"/>
              <w:ind w:left="0" w:right="13" w:firstLine="0"/>
            </w:pPr>
            <w:r>
              <w:t>Le cas échéant,</w:t>
            </w:r>
            <w:r w:rsidRPr="003B0024">
              <w:t> les données provenant de systèmes fils conformes aux </w:t>
            </w:r>
            <w:hyperlink r:id="rId11" w:tooltip="Code de la santé publique - art. L1461-1 (M)" w:history="1">
              <w:r w:rsidRPr="003B0024">
                <w:rPr>
                  <w:rStyle w:val="Lienhypertexte"/>
                </w:rPr>
                <w:t>dispositions des articles L. 1461-1 et suivants du code de la santé publique</w:t>
              </w:r>
            </w:hyperlink>
            <w:r w:rsidRPr="003B0024">
              <w:t>, ainsi qu'au référentiel de sécurité applicable au SNDS prévu par l'arrêté du 22 mars 2017.</w:t>
            </w:r>
          </w:p>
        </w:tc>
        <w:tc>
          <w:tcPr>
            <w:tcW w:w="1788"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160" w:line="259" w:lineRule="auto"/>
              <w:ind w:left="0" w:right="0" w:firstLine="0"/>
              <w:jc w:val="left"/>
            </w:pPr>
            <w:r>
              <w:rPr>
                <w:rFonts w:ascii="MS Gothic" w:eastAsia="MS Gothic" w:hAnsi="MS Gothic" w:cs="MS Gothic"/>
              </w:rPr>
              <w:t>☐</w:t>
            </w:r>
            <w:r>
              <w:t xml:space="preserve"> Vrai </w:t>
            </w:r>
          </w:p>
          <w:p w:rsidR="00897781" w:rsidRDefault="00897781" w:rsidP="00993C0E">
            <w:pPr>
              <w:spacing w:after="160" w:line="259" w:lineRule="auto"/>
              <w:ind w:left="0" w:right="0" w:firstLine="0"/>
              <w:jc w:val="left"/>
              <w:rPr>
                <w:rFonts w:ascii="MS Gothic" w:eastAsia="MS Gothic" w:hAnsi="MS Gothic" w:cs="MS Gothic"/>
              </w:rPr>
            </w:pPr>
            <w:r>
              <w:rPr>
                <w:rFonts w:ascii="MS Gothic" w:eastAsia="MS Gothic" w:hAnsi="MS Gothic" w:cs="MS Gothic"/>
              </w:rPr>
              <w:t>☐</w:t>
            </w:r>
            <w:r>
              <w:t xml:space="preserve"> Faux</w:t>
            </w:r>
          </w:p>
        </w:tc>
        <w:tc>
          <w:tcPr>
            <w:tcW w:w="2089"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left="0" w:right="11" w:firstLine="0"/>
              <w:jc w:val="center"/>
            </w:pPr>
          </w:p>
        </w:tc>
      </w:tr>
      <w:tr w:rsidR="00897781" w:rsidTr="00C537E3">
        <w:trPr>
          <w:cantSplit/>
          <w:trHeight w:val="426"/>
        </w:trPr>
        <w:tc>
          <w:tcPr>
            <w:tcW w:w="9734" w:type="dxa"/>
            <w:gridSpan w:val="4"/>
            <w:tcBorders>
              <w:top w:val="single" w:sz="4" w:space="0" w:color="004A99"/>
              <w:left w:val="single" w:sz="4" w:space="0" w:color="004A99"/>
              <w:bottom w:val="single" w:sz="4" w:space="0" w:color="004A99"/>
              <w:right w:val="single" w:sz="4" w:space="0" w:color="004A99"/>
            </w:tcBorders>
            <w:shd w:val="clear" w:color="auto" w:fill="4796EC"/>
          </w:tcPr>
          <w:p w:rsidR="00897781" w:rsidRPr="002F6EAA" w:rsidRDefault="00897781" w:rsidP="00897781">
            <w:pPr>
              <w:pStyle w:val="Paragraphedeliste"/>
              <w:numPr>
                <w:ilvl w:val="0"/>
                <w:numId w:val="3"/>
              </w:numPr>
              <w:spacing w:after="0" w:line="259" w:lineRule="auto"/>
              <w:ind w:right="11"/>
              <w:jc w:val="center"/>
              <w:rPr>
                <w:rFonts w:asciiTheme="minorHAnsi" w:hAnsiTheme="minorHAnsi" w:cstheme="minorHAnsi"/>
                <w:b/>
                <w:sz w:val="24"/>
                <w:szCs w:val="24"/>
              </w:rPr>
            </w:pPr>
            <w:r w:rsidRPr="002F6EAA">
              <w:rPr>
                <w:rFonts w:asciiTheme="minorHAnsi" w:hAnsiTheme="minorHAnsi" w:cstheme="minorHAnsi"/>
                <w:b/>
                <w:color w:val="FFFFFF" w:themeColor="background1"/>
                <w:sz w:val="24"/>
                <w:szCs w:val="24"/>
              </w:rPr>
              <w:t xml:space="preserve">Transfert de données hors UE </w:t>
            </w:r>
          </w:p>
        </w:tc>
      </w:tr>
      <w:tr w:rsidR="00897781" w:rsidTr="00C537E3">
        <w:trPr>
          <w:cantSplit/>
          <w:trHeight w:val="4017"/>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897781" w:rsidRDefault="00897781" w:rsidP="00993C0E">
            <w:pPr>
              <w:spacing w:after="0" w:line="259" w:lineRule="auto"/>
              <w:ind w:left="0" w:right="58" w:firstLine="0"/>
              <w:jc w:val="center"/>
            </w:pPr>
            <w:r>
              <w:rPr>
                <w:rFonts w:ascii="Calibri" w:eastAsia="Calibri" w:hAnsi="Calibri" w:cs="Calibri"/>
                <w:b/>
                <w:color w:val="FFFFFF"/>
                <w:sz w:val="24"/>
              </w:rPr>
              <w:t xml:space="preserve">6.1 </w:t>
            </w:r>
          </w:p>
        </w:tc>
        <w:tc>
          <w:tcPr>
            <w:tcW w:w="4445"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right="0"/>
            </w:pPr>
            <w:r>
              <w:t xml:space="preserve"> </w:t>
            </w:r>
            <w:r w:rsidRPr="002F6EAA">
              <w:t xml:space="preserve">La </w:t>
            </w:r>
            <w:r>
              <w:t>conduite de la recherche n’entraine pas d</w:t>
            </w:r>
            <w:r w:rsidRPr="002F6EAA">
              <w:t>e transfert de données personnelles, directement ou indirectement identifiantes, hors de l’Union européenne ou à destination d’un pays ne disposant pas d’un niveau de protection adéquat</w:t>
            </w:r>
            <w:r>
              <w:t>, ou sans garanties appropriées (ex, clauses contractuelles types)</w:t>
            </w:r>
            <w:r w:rsidRPr="002F6EAA">
              <w:t>.</w:t>
            </w:r>
          </w:p>
          <w:p w:rsidR="00897781" w:rsidRDefault="00897781" w:rsidP="00993C0E">
            <w:pPr>
              <w:spacing w:after="0" w:line="259" w:lineRule="auto"/>
              <w:ind w:right="0"/>
            </w:pPr>
          </w:p>
          <w:p w:rsidR="00897781" w:rsidRPr="002F6EAA" w:rsidRDefault="00897781" w:rsidP="00993C0E">
            <w:pPr>
              <w:spacing w:after="0" w:line="259" w:lineRule="auto"/>
              <w:ind w:right="0"/>
            </w:pPr>
            <w:r w:rsidRPr="002F6EAA">
              <w:t>Le transfert doit être strictement nécessaire à la mise en œuvre de la recherche ou à l'exploitation de ses résultats, dans les conditions prévues par méthodologie de référence.</w:t>
            </w:r>
          </w:p>
          <w:p w:rsidR="00897781" w:rsidRDefault="00897781" w:rsidP="00993C0E">
            <w:pPr>
              <w:spacing w:after="0" w:line="259" w:lineRule="auto"/>
              <w:ind w:right="0"/>
              <w:jc w:val="left"/>
            </w:pPr>
          </w:p>
        </w:tc>
        <w:tc>
          <w:tcPr>
            <w:tcW w:w="1788" w:type="dxa"/>
            <w:tcBorders>
              <w:top w:val="single" w:sz="4" w:space="0" w:color="004A99"/>
              <w:left w:val="single" w:sz="4" w:space="0" w:color="004A99"/>
              <w:bottom w:val="single" w:sz="4" w:space="0" w:color="004A99"/>
              <w:right w:val="single" w:sz="4" w:space="0" w:color="004A99"/>
            </w:tcBorders>
            <w:vAlign w:val="center"/>
          </w:tcPr>
          <w:p w:rsidR="00897781" w:rsidRDefault="00897781" w:rsidP="00993C0E">
            <w:pPr>
              <w:spacing w:after="147" w:line="259" w:lineRule="auto"/>
              <w:ind w:left="0" w:right="0" w:firstLine="0"/>
              <w:jc w:val="left"/>
            </w:pPr>
            <w:r>
              <w:rPr>
                <w:rFonts w:ascii="Segoe UI Symbol" w:eastAsia="Segoe UI Symbol" w:hAnsi="Segoe UI Symbol" w:cs="Segoe UI Symbol"/>
              </w:rPr>
              <w:t>☐</w:t>
            </w:r>
            <w:r>
              <w:t xml:space="preserve"> Vrai </w:t>
            </w:r>
          </w:p>
          <w:p w:rsidR="00897781" w:rsidRDefault="00897781" w:rsidP="00993C0E">
            <w:pPr>
              <w:spacing w:after="145" w:line="259" w:lineRule="auto"/>
              <w:ind w:left="0" w:right="0" w:firstLine="0"/>
              <w:jc w:val="left"/>
            </w:pPr>
            <w:r>
              <w:rPr>
                <w:rFonts w:ascii="Segoe UI Symbol" w:eastAsia="Segoe UI Symbol" w:hAnsi="Segoe UI Symbol" w:cs="Segoe UI Symbol"/>
              </w:rPr>
              <w:t>☐</w:t>
            </w:r>
            <w:r>
              <w:t xml:space="preserve"> Faux </w:t>
            </w:r>
          </w:p>
          <w:p w:rsidR="00897781" w:rsidRDefault="00897781" w:rsidP="00993C0E">
            <w:pPr>
              <w:spacing w:after="0" w:line="259" w:lineRule="auto"/>
              <w:ind w:left="0" w:right="0" w:firstLine="0"/>
              <w:jc w:val="left"/>
            </w:pPr>
            <w:r>
              <w:t xml:space="preserve"> </w:t>
            </w:r>
          </w:p>
        </w:tc>
        <w:tc>
          <w:tcPr>
            <w:tcW w:w="2089"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left="0" w:right="11" w:firstLine="0"/>
              <w:jc w:val="center"/>
            </w:pPr>
            <w:r>
              <w:t xml:space="preserve"> </w:t>
            </w:r>
          </w:p>
        </w:tc>
      </w:tr>
      <w:tr w:rsidR="00897781" w:rsidTr="00C537E3">
        <w:trPr>
          <w:cantSplit/>
          <w:trHeight w:val="367"/>
        </w:trPr>
        <w:tc>
          <w:tcPr>
            <w:tcW w:w="9734" w:type="dxa"/>
            <w:gridSpan w:val="4"/>
            <w:tcBorders>
              <w:top w:val="single" w:sz="4" w:space="0" w:color="004A99"/>
              <w:left w:val="single" w:sz="4" w:space="0" w:color="004A99"/>
              <w:bottom w:val="single" w:sz="4" w:space="0" w:color="004A99"/>
              <w:right w:val="single" w:sz="4" w:space="0" w:color="004A99"/>
            </w:tcBorders>
            <w:shd w:val="clear" w:color="auto" w:fill="4796EC"/>
          </w:tcPr>
          <w:p w:rsidR="00897781" w:rsidRDefault="00897781" w:rsidP="00897781">
            <w:pPr>
              <w:pStyle w:val="Paragraphedeliste"/>
              <w:numPr>
                <w:ilvl w:val="0"/>
                <w:numId w:val="3"/>
              </w:numPr>
              <w:spacing w:after="0" w:line="259" w:lineRule="auto"/>
              <w:ind w:right="58"/>
              <w:jc w:val="center"/>
            </w:pPr>
            <w:r w:rsidRPr="003B0024">
              <w:rPr>
                <w:rFonts w:ascii="Calibri" w:eastAsia="Calibri" w:hAnsi="Calibri" w:cs="Calibri"/>
                <w:b/>
                <w:color w:val="FFFFFF"/>
                <w:sz w:val="24"/>
              </w:rPr>
              <w:t xml:space="preserve"> Sous-traitants</w:t>
            </w:r>
            <w:r>
              <w:t xml:space="preserve">  </w:t>
            </w:r>
          </w:p>
        </w:tc>
      </w:tr>
      <w:tr w:rsidR="00897781" w:rsidTr="00C537E3">
        <w:trPr>
          <w:cantSplit/>
          <w:trHeight w:val="1570"/>
        </w:trPr>
        <w:tc>
          <w:tcPr>
            <w:tcW w:w="1412" w:type="dxa"/>
            <w:tcBorders>
              <w:top w:val="single" w:sz="4" w:space="0" w:color="004A99"/>
              <w:left w:val="single" w:sz="4" w:space="0" w:color="004A99"/>
              <w:bottom w:val="single" w:sz="4" w:space="0" w:color="004A99"/>
              <w:right w:val="single" w:sz="4" w:space="0" w:color="004A99"/>
            </w:tcBorders>
            <w:shd w:val="clear" w:color="auto" w:fill="4796EC"/>
            <w:vAlign w:val="center"/>
          </w:tcPr>
          <w:p w:rsidR="00897781" w:rsidRDefault="00897781" w:rsidP="00993C0E">
            <w:pPr>
              <w:spacing w:after="0" w:line="259" w:lineRule="auto"/>
              <w:ind w:left="0" w:right="56" w:firstLine="0"/>
              <w:jc w:val="center"/>
            </w:pPr>
            <w:r>
              <w:rPr>
                <w:rFonts w:ascii="Calibri" w:eastAsia="Calibri" w:hAnsi="Calibri" w:cs="Calibri"/>
                <w:b/>
                <w:color w:val="FFFFFF"/>
                <w:sz w:val="24"/>
              </w:rPr>
              <w:t xml:space="preserve">7.1 </w:t>
            </w:r>
          </w:p>
        </w:tc>
        <w:tc>
          <w:tcPr>
            <w:tcW w:w="4445"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117" w:line="240" w:lineRule="auto"/>
              <w:ind w:left="0" w:right="32" w:firstLine="0"/>
            </w:pPr>
            <w:r>
              <w:t xml:space="preserve">En cas de recours à un prestataire : un contrat est conclu avec celui-ci conformément aux dispositions de l’article 28 RGPD. </w:t>
            </w:r>
          </w:p>
          <w:p w:rsidR="00897781" w:rsidRDefault="00897781" w:rsidP="00993C0E">
            <w:pPr>
              <w:spacing w:after="0" w:line="259" w:lineRule="auto"/>
              <w:ind w:left="0" w:right="0" w:firstLine="0"/>
              <w:jc w:val="left"/>
            </w:pPr>
            <w:r>
              <w:t xml:space="preserve"> </w:t>
            </w:r>
          </w:p>
        </w:tc>
        <w:tc>
          <w:tcPr>
            <w:tcW w:w="1788" w:type="dxa"/>
            <w:tcBorders>
              <w:top w:val="single" w:sz="4" w:space="0" w:color="004A99"/>
              <w:left w:val="single" w:sz="4" w:space="0" w:color="004A99"/>
              <w:bottom w:val="single" w:sz="4" w:space="0" w:color="004A99"/>
              <w:right w:val="single" w:sz="4" w:space="0" w:color="004A99"/>
            </w:tcBorders>
            <w:vAlign w:val="center"/>
          </w:tcPr>
          <w:p w:rsidR="00897781" w:rsidRDefault="00897781" w:rsidP="00993C0E">
            <w:pPr>
              <w:spacing w:after="157" w:line="259" w:lineRule="auto"/>
              <w:ind w:left="0" w:right="0" w:firstLine="0"/>
              <w:jc w:val="left"/>
            </w:pPr>
            <w:r>
              <w:rPr>
                <w:rFonts w:ascii="MS Gothic" w:eastAsia="MS Gothic" w:hAnsi="MS Gothic" w:cs="MS Gothic"/>
              </w:rPr>
              <w:t>☐</w:t>
            </w:r>
            <w:r>
              <w:t xml:space="preserve"> Vrai </w:t>
            </w:r>
          </w:p>
          <w:p w:rsidR="00897781" w:rsidRDefault="00897781" w:rsidP="00993C0E">
            <w:pPr>
              <w:spacing w:after="167" w:line="259" w:lineRule="auto"/>
              <w:ind w:left="0" w:right="0" w:firstLine="0"/>
              <w:jc w:val="left"/>
            </w:pPr>
            <w:r>
              <w:rPr>
                <w:rFonts w:ascii="MS Gothic" w:eastAsia="MS Gothic" w:hAnsi="MS Gothic" w:cs="MS Gothic"/>
              </w:rPr>
              <w:t>☐</w:t>
            </w:r>
            <w:r>
              <w:t xml:space="preserve"> Faux </w:t>
            </w:r>
          </w:p>
          <w:p w:rsidR="00897781" w:rsidRDefault="00897781" w:rsidP="00993C0E">
            <w:pPr>
              <w:spacing w:after="0" w:line="259" w:lineRule="auto"/>
              <w:ind w:left="0" w:right="283" w:firstLine="0"/>
            </w:pPr>
            <w:r>
              <w:rPr>
                <w:rFonts w:ascii="MS Gothic" w:eastAsia="MS Gothic" w:hAnsi="MS Gothic" w:cs="MS Gothic"/>
              </w:rPr>
              <w:t>☐</w:t>
            </w:r>
            <w:r>
              <w:t xml:space="preserve"> N/A </w:t>
            </w:r>
            <w:r>
              <w:rPr>
                <w:sz w:val="18"/>
              </w:rPr>
              <w:t>(si le responsable de traitement n’a pas recours à un sous-traitant)</w:t>
            </w:r>
            <w:r>
              <w:t xml:space="preserve"> </w:t>
            </w:r>
          </w:p>
        </w:tc>
        <w:tc>
          <w:tcPr>
            <w:tcW w:w="2089"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left="0" w:right="0" w:firstLine="0"/>
              <w:jc w:val="left"/>
            </w:pPr>
            <w:r>
              <w:t xml:space="preserve"> </w:t>
            </w:r>
          </w:p>
        </w:tc>
      </w:tr>
      <w:tr w:rsidR="00897781" w:rsidTr="00C537E3">
        <w:trPr>
          <w:cantSplit/>
          <w:trHeight w:val="1777"/>
        </w:trPr>
        <w:tc>
          <w:tcPr>
            <w:tcW w:w="1412" w:type="dxa"/>
            <w:tcBorders>
              <w:top w:val="single" w:sz="4" w:space="0" w:color="004A99"/>
              <w:left w:val="single" w:sz="4" w:space="0" w:color="004A99"/>
              <w:bottom w:val="single" w:sz="4" w:space="0" w:color="004A99"/>
              <w:right w:val="single" w:sz="4" w:space="0" w:color="004A99"/>
            </w:tcBorders>
            <w:shd w:val="clear" w:color="auto" w:fill="4796EC"/>
            <w:vAlign w:val="center"/>
          </w:tcPr>
          <w:p w:rsidR="00897781" w:rsidRDefault="00897781" w:rsidP="00993C0E">
            <w:pPr>
              <w:spacing w:after="0" w:line="259" w:lineRule="auto"/>
              <w:ind w:left="0" w:right="56" w:firstLine="0"/>
              <w:jc w:val="center"/>
            </w:pPr>
            <w:r>
              <w:rPr>
                <w:rFonts w:ascii="Calibri" w:eastAsia="Calibri" w:hAnsi="Calibri" w:cs="Calibri"/>
                <w:b/>
                <w:color w:val="FFFFFF"/>
                <w:sz w:val="24"/>
              </w:rPr>
              <w:t xml:space="preserve">7.2 </w:t>
            </w:r>
          </w:p>
        </w:tc>
        <w:tc>
          <w:tcPr>
            <w:tcW w:w="4445"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117" w:line="240" w:lineRule="auto"/>
              <w:ind w:left="0" w:right="36" w:firstLine="0"/>
            </w:pPr>
            <w:r>
              <w:t xml:space="preserve">La répartition des responsabilités en matière de sécurité et de gestion des violations de données entre le responsable de traitement et le prestataire est prévue par le contrat. </w:t>
            </w:r>
          </w:p>
          <w:p w:rsidR="00897781" w:rsidRDefault="00897781" w:rsidP="00993C0E">
            <w:pPr>
              <w:spacing w:after="0" w:line="259" w:lineRule="auto"/>
              <w:ind w:left="0" w:right="0" w:firstLine="0"/>
            </w:pPr>
            <w:r>
              <w:t xml:space="preserve"> </w:t>
            </w:r>
          </w:p>
        </w:tc>
        <w:tc>
          <w:tcPr>
            <w:tcW w:w="1788" w:type="dxa"/>
            <w:tcBorders>
              <w:top w:val="single" w:sz="4" w:space="0" w:color="004A99"/>
              <w:left w:val="single" w:sz="4" w:space="0" w:color="004A99"/>
              <w:bottom w:val="single" w:sz="4" w:space="0" w:color="004A99"/>
              <w:right w:val="single" w:sz="4" w:space="0" w:color="004A99"/>
            </w:tcBorders>
            <w:vAlign w:val="center"/>
          </w:tcPr>
          <w:p w:rsidR="00897781" w:rsidRDefault="00897781" w:rsidP="00993C0E">
            <w:pPr>
              <w:spacing w:after="157" w:line="259" w:lineRule="auto"/>
              <w:ind w:left="0" w:right="0" w:firstLine="0"/>
              <w:jc w:val="left"/>
            </w:pPr>
            <w:r>
              <w:rPr>
                <w:rFonts w:ascii="MS Gothic" w:eastAsia="MS Gothic" w:hAnsi="MS Gothic" w:cs="MS Gothic"/>
              </w:rPr>
              <w:t>☐</w:t>
            </w:r>
            <w:r>
              <w:t xml:space="preserve"> Vrai </w:t>
            </w:r>
          </w:p>
          <w:p w:rsidR="00897781" w:rsidRDefault="00897781" w:rsidP="00993C0E">
            <w:pPr>
              <w:spacing w:after="164" w:line="259" w:lineRule="auto"/>
              <w:ind w:left="0" w:right="0" w:firstLine="0"/>
              <w:jc w:val="left"/>
            </w:pPr>
            <w:r>
              <w:rPr>
                <w:rFonts w:ascii="MS Gothic" w:eastAsia="MS Gothic" w:hAnsi="MS Gothic" w:cs="MS Gothic"/>
              </w:rPr>
              <w:t>☐</w:t>
            </w:r>
            <w:r>
              <w:t xml:space="preserve"> Faux </w:t>
            </w:r>
          </w:p>
          <w:p w:rsidR="00897781" w:rsidRDefault="00897781" w:rsidP="00993C0E">
            <w:pPr>
              <w:spacing w:after="0" w:line="259" w:lineRule="auto"/>
              <w:ind w:left="0" w:right="283" w:firstLine="0"/>
            </w:pPr>
            <w:r>
              <w:rPr>
                <w:rFonts w:ascii="MS Gothic" w:eastAsia="MS Gothic" w:hAnsi="MS Gothic" w:cs="MS Gothic"/>
              </w:rPr>
              <w:t>☐</w:t>
            </w:r>
            <w:r>
              <w:t xml:space="preserve"> N/A </w:t>
            </w:r>
            <w:r>
              <w:rPr>
                <w:sz w:val="18"/>
              </w:rPr>
              <w:t>(si le responsable de traitement n’a pas recours à un sous-traitant)</w:t>
            </w:r>
            <w:r>
              <w:t xml:space="preserve"> </w:t>
            </w:r>
          </w:p>
        </w:tc>
        <w:tc>
          <w:tcPr>
            <w:tcW w:w="2089"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left="0" w:right="0" w:firstLine="0"/>
              <w:jc w:val="left"/>
            </w:pPr>
            <w:r>
              <w:rPr>
                <w:i/>
              </w:rPr>
              <w:t xml:space="preserve"> </w:t>
            </w:r>
          </w:p>
        </w:tc>
      </w:tr>
      <w:tr w:rsidR="00897781" w:rsidTr="00C537E3">
        <w:trPr>
          <w:cantSplit/>
          <w:trHeight w:val="1569"/>
        </w:trPr>
        <w:tc>
          <w:tcPr>
            <w:tcW w:w="1412" w:type="dxa"/>
            <w:tcBorders>
              <w:top w:val="single" w:sz="4" w:space="0" w:color="004A99"/>
              <w:left w:val="single" w:sz="4" w:space="0" w:color="004A99"/>
              <w:bottom w:val="single" w:sz="4" w:space="0" w:color="004A99"/>
              <w:right w:val="single" w:sz="4" w:space="0" w:color="004A99"/>
            </w:tcBorders>
            <w:shd w:val="clear" w:color="auto" w:fill="4796EC"/>
            <w:vAlign w:val="center"/>
          </w:tcPr>
          <w:p w:rsidR="00897781" w:rsidRDefault="00897781" w:rsidP="00993C0E">
            <w:pPr>
              <w:spacing w:after="0" w:line="259" w:lineRule="auto"/>
              <w:ind w:left="0" w:right="56" w:firstLine="0"/>
              <w:jc w:val="center"/>
            </w:pPr>
            <w:r>
              <w:rPr>
                <w:rFonts w:ascii="Calibri" w:eastAsia="Calibri" w:hAnsi="Calibri" w:cs="Calibri"/>
                <w:b/>
                <w:color w:val="FFFFFF"/>
                <w:sz w:val="24"/>
              </w:rPr>
              <w:t xml:space="preserve">7.3 </w:t>
            </w:r>
          </w:p>
        </w:tc>
        <w:tc>
          <w:tcPr>
            <w:tcW w:w="4445"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left="0" w:right="0" w:firstLine="0"/>
              <w:jc w:val="left"/>
            </w:pPr>
            <w:r>
              <w:t xml:space="preserve">Le prestataire tient un registre des activités de traitement dans les conditions posées à l’article 30.2 RGPD.  </w:t>
            </w:r>
          </w:p>
        </w:tc>
        <w:tc>
          <w:tcPr>
            <w:tcW w:w="1788" w:type="dxa"/>
            <w:tcBorders>
              <w:top w:val="single" w:sz="4" w:space="0" w:color="004A99"/>
              <w:left w:val="single" w:sz="4" w:space="0" w:color="004A99"/>
              <w:bottom w:val="single" w:sz="4" w:space="0" w:color="004A99"/>
              <w:right w:val="single" w:sz="4" w:space="0" w:color="004A99"/>
            </w:tcBorders>
            <w:vAlign w:val="center"/>
          </w:tcPr>
          <w:p w:rsidR="00897781" w:rsidRDefault="00897781" w:rsidP="00993C0E">
            <w:pPr>
              <w:spacing w:after="160" w:line="259" w:lineRule="auto"/>
              <w:ind w:left="0" w:right="0" w:firstLine="0"/>
              <w:jc w:val="left"/>
            </w:pPr>
            <w:r>
              <w:rPr>
                <w:rFonts w:ascii="MS Gothic" w:eastAsia="MS Gothic" w:hAnsi="MS Gothic" w:cs="MS Gothic"/>
              </w:rPr>
              <w:t>☐</w:t>
            </w:r>
            <w:r>
              <w:t xml:space="preserve"> Vrai </w:t>
            </w:r>
          </w:p>
          <w:p w:rsidR="00897781" w:rsidRDefault="00897781" w:rsidP="00993C0E">
            <w:pPr>
              <w:spacing w:after="164" w:line="259" w:lineRule="auto"/>
              <w:ind w:left="0" w:right="0" w:firstLine="0"/>
              <w:jc w:val="left"/>
            </w:pPr>
            <w:r>
              <w:rPr>
                <w:rFonts w:ascii="MS Gothic" w:eastAsia="MS Gothic" w:hAnsi="MS Gothic" w:cs="MS Gothic"/>
              </w:rPr>
              <w:t>☐</w:t>
            </w:r>
            <w:r>
              <w:t xml:space="preserve"> Faux </w:t>
            </w:r>
          </w:p>
          <w:p w:rsidR="00897781" w:rsidRDefault="00897781" w:rsidP="00993C0E">
            <w:pPr>
              <w:spacing w:after="0" w:line="259" w:lineRule="auto"/>
              <w:ind w:left="0" w:right="283" w:firstLine="0"/>
            </w:pPr>
            <w:r>
              <w:rPr>
                <w:rFonts w:ascii="MS Gothic" w:eastAsia="MS Gothic" w:hAnsi="MS Gothic" w:cs="MS Gothic"/>
              </w:rPr>
              <w:t>☐</w:t>
            </w:r>
            <w:r>
              <w:t xml:space="preserve"> N/A </w:t>
            </w:r>
            <w:r>
              <w:rPr>
                <w:sz w:val="18"/>
              </w:rPr>
              <w:t>(si le responsable de traitement n’a pas recours à un sous-traitant)</w:t>
            </w:r>
            <w:r>
              <w:t xml:space="preserve"> </w:t>
            </w:r>
          </w:p>
        </w:tc>
        <w:tc>
          <w:tcPr>
            <w:tcW w:w="2089"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left="0" w:right="0" w:firstLine="0"/>
              <w:jc w:val="left"/>
            </w:pPr>
            <w:r>
              <w:rPr>
                <w:i/>
              </w:rPr>
              <w:t xml:space="preserve"> </w:t>
            </w:r>
          </w:p>
        </w:tc>
      </w:tr>
      <w:tr w:rsidR="00897781" w:rsidTr="00C537E3">
        <w:trPr>
          <w:cantSplit/>
          <w:trHeight w:val="2000"/>
        </w:trPr>
        <w:tc>
          <w:tcPr>
            <w:tcW w:w="1412" w:type="dxa"/>
            <w:tcBorders>
              <w:top w:val="single" w:sz="4" w:space="0" w:color="004A99"/>
              <w:left w:val="single" w:sz="4" w:space="0" w:color="004A99"/>
              <w:bottom w:val="single" w:sz="4" w:space="0" w:color="004A99"/>
              <w:right w:val="single" w:sz="4" w:space="0" w:color="004A99"/>
            </w:tcBorders>
            <w:shd w:val="clear" w:color="auto" w:fill="4796EC"/>
            <w:vAlign w:val="center"/>
          </w:tcPr>
          <w:p w:rsidR="00897781" w:rsidRDefault="00897781" w:rsidP="00993C0E">
            <w:pPr>
              <w:spacing w:after="0" w:line="259" w:lineRule="auto"/>
              <w:ind w:left="0" w:right="56" w:firstLine="0"/>
              <w:jc w:val="center"/>
            </w:pPr>
            <w:r>
              <w:rPr>
                <w:rFonts w:ascii="Calibri" w:eastAsia="Calibri" w:hAnsi="Calibri" w:cs="Calibri"/>
                <w:b/>
                <w:color w:val="FFFFFF"/>
                <w:sz w:val="24"/>
              </w:rPr>
              <w:t xml:space="preserve">7.4 </w:t>
            </w:r>
          </w:p>
        </w:tc>
        <w:tc>
          <w:tcPr>
            <w:tcW w:w="4445"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118" w:line="239" w:lineRule="auto"/>
              <w:ind w:left="0" w:right="60" w:firstLine="0"/>
            </w:pPr>
            <w:r>
              <w:t xml:space="preserve">Si le sous-traitant est recruté pour l’hébergement, le stockage ou la conservation des données : il est agréé ou certifié hébergeur de données de santé selon les dispositions du code de la santé publique. </w:t>
            </w:r>
          </w:p>
          <w:p w:rsidR="00897781" w:rsidRDefault="00897781" w:rsidP="00993C0E">
            <w:pPr>
              <w:spacing w:after="0" w:line="259" w:lineRule="auto"/>
              <w:ind w:left="0" w:right="0" w:firstLine="0"/>
              <w:jc w:val="left"/>
            </w:pPr>
            <w:r>
              <w:t xml:space="preserve"> </w:t>
            </w:r>
          </w:p>
        </w:tc>
        <w:tc>
          <w:tcPr>
            <w:tcW w:w="1788" w:type="dxa"/>
            <w:tcBorders>
              <w:top w:val="single" w:sz="4" w:space="0" w:color="004A99"/>
              <w:left w:val="single" w:sz="4" w:space="0" w:color="004A99"/>
              <w:bottom w:val="single" w:sz="4" w:space="0" w:color="004A99"/>
              <w:right w:val="single" w:sz="4" w:space="0" w:color="004A99"/>
            </w:tcBorders>
            <w:vAlign w:val="center"/>
          </w:tcPr>
          <w:p w:rsidR="00897781" w:rsidRDefault="00897781" w:rsidP="00993C0E">
            <w:pPr>
              <w:spacing w:after="78" w:line="259" w:lineRule="auto"/>
              <w:ind w:left="0" w:right="0" w:firstLine="0"/>
              <w:jc w:val="left"/>
            </w:pPr>
            <w:r>
              <w:rPr>
                <w:rFonts w:ascii="MS Gothic" w:eastAsia="MS Gothic" w:hAnsi="MS Gothic" w:cs="MS Gothic"/>
              </w:rPr>
              <w:t>☐</w:t>
            </w:r>
            <w:r>
              <w:t xml:space="preserve"> Vrai </w:t>
            </w:r>
          </w:p>
          <w:p w:rsidR="00897781" w:rsidRDefault="00897781" w:rsidP="00993C0E">
            <w:pPr>
              <w:spacing w:after="80" w:line="259" w:lineRule="auto"/>
              <w:ind w:left="0" w:right="0" w:firstLine="0"/>
              <w:jc w:val="left"/>
            </w:pPr>
            <w:r>
              <w:rPr>
                <w:rFonts w:ascii="MS Gothic" w:eastAsia="MS Gothic" w:hAnsi="MS Gothic" w:cs="MS Gothic"/>
              </w:rPr>
              <w:t>☐</w:t>
            </w:r>
            <w:r>
              <w:t xml:space="preserve"> Faux </w:t>
            </w:r>
          </w:p>
          <w:p w:rsidR="00897781" w:rsidRDefault="00897781" w:rsidP="00993C0E">
            <w:pPr>
              <w:spacing w:after="0" w:line="259" w:lineRule="auto"/>
              <w:ind w:left="0" w:right="0" w:firstLine="0"/>
              <w:jc w:val="left"/>
            </w:pPr>
            <w:r>
              <w:rPr>
                <w:rFonts w:ascii="MS Gothic" w:eastAsia="MS Gothic" w:hAnsi="MS Gothic" w:cs="MS Gothic"/>
              </w:rPr>
              <w:t>☐</w:t>
            </w:r>
            <w:r>
              <w:t xml:space="preserve"> N/A  </w:t>
            </w:r>
          </w:p>
          <w:p w:rsidR="00897781" w:rsidRDefault="00897781" w:rsidP="00993C0E">
            <w:pPr>
              <w:spacing w:after="0" w:line="259" w:lineRule="auto"/>
              <w:ind w:left="0" w:right="0" w:firstLine="0"/>
              <w:jc w:val="left"/>
            </w:pPr>
            <w:r>
              <w:rPr>
                <w:sz w:val="18"/>
              </w:rPr>
              <w:t>(si le responsable de traitement n’a pas recours à un sous-traitant)</w:t>
            </w:r>
            <w:r>
              <w:t xml:space="preserve"> </w:t>
            </w:r>
          </w:p>
        </w:tc>
        <w:tc>
          <w:tcPr>
            <w:tcW w:w="2089" w:type="dxa"/>
            <w:tcBorders>
              <w:top w:val="single" w:sz="4" w:space="0" w:color="004A99"/>
              <w:left w:val="single" w:sz="4" w:space="0" w:color="004A99"/>
              <w:bottom w:val="single" w:sz="4" w:space="0" w:color="004A99"/>
              <w:right w:val="single" w:sz="4" w:space="0" w:color="004A99"/>
            </w:tcBorders>
          </w:tcPr>
          <w:p w:rsidR="00897781" w:rsidRDefault="00897781" w:rsidP="00993C0E">
            <w:pPr>
              <w:spacing w:after="0" w:line="259" w:lineRule="auto"/>
              <w:ind w:left="0" w:right="0" w:firstLine="0"/>
              <w:jc w:val="left"/>
            </w:pPr>
            <w:r>
              <w:t xml:space="preserve"> </w:t>
            </w:r>
          </w:p>
        </w:tc>
      </w:tr>
      <w:tr w:rsidR="00235464" w:rsidTr="00C537E3">
        <w:trPr>
          <w:cantSplit/>
          <w:trHeight w:val="367"/>
        </w:trPr>
        <w:tc>
          <w:tcPr>
            <w:tcW w:w="9734" w:type="dxa"/>
            <w:gridSpan w:val="4"/>
            <w:tcBorders>
              <w:top w:val="single" w:sz="4" w:space="0" w:color="004A99"/>
              <w:left w:val="single" w:sz="4" w:space="0" w:color="004A99"/>
              <w:bottom w:val="single" w:sz="4" w:space="0" w:color="004A99"/>
              <w:right w:val="single" w:sz="4" w:space="0" w:color="004A99"/>
            </w:tcBorders>
            <w:shd w:val="clear" w:color="auto" w:fill="4796EC"/>
            <w:hideMark/>
          </w:tcPr>
          <w:p w:rsidR="00235464" w:rsidRDefault="00235464" w:rsidP="00235464">
            <w:pPr>
              <w:pStyle w:val="Paragraphedeliste"/>
              <w:numPr>
                <w:ilvl w:val="0"/>
                <w:numId w:val="3"/>
              </w:numPr>
              <w:spacing w:after="0" w:line="249" w:lineRule="auto"/>
              <w:ind w:right="58"/>
              <w:jc w:val="center"/>
            </w:pPr>
            <w:r w:rsidRPr="00235464">
              <w:rPr>
                <w:rFonts w:ascii="Calibri" w:eastAsia="Calibri" w:hAnsi="Calibri" w:cs="Calibri"/>
                <w:b/>
                <w:color w:val="FFFFFF"/>
                <w:sz w:val="24"/>
              </w:rPr>
              <w:t>Mise en œuvre du principe de responsabilité</w:t>
            </w:r>
            <w:r>
              <w:t xml:space="preserve"> </w:t>
            </w:r>
          </w:p>
        </w:tc>
      </w:tr>
      <w:tr w:rsidR="00235464" w:rsidTr="00C537E3">
        <w:trPr>
          <w:cantSplit/>
          <w:trHeight w:val="552"/>
        </w:trPr>
        <w:tc>
          <w:tcPr>
            <w:tcW w:w="1412" w:type="dxa"/>
            <w:tcBorders>
              <w:top w:val="single" w:sz="4" w:space="0" w:color="004A99"/>
              <w:left w:val="single" w:sz="4" w:space="0" w:color="004A99"/>
              <w:bottom w:val="single" w:sz="4" w:space="0" w:color="004A99"/>
              <w:right w:val="single" w:sz="4" w:space="0" w:color="004A99"/>
            </w:tcBorders>
            <w:shd w:val="clear" w:color="auto" w:fill="4796EC"/>
            <w:vAlign w:val="center"/>
            <w:hideMark/>
          </w:tcPr>
          <w:p w:rsidR="00235464" w:rsidRDefault="00235464">
            <w:pPr>
              <w:spacing w:after="0" w:line="240" w:lineRule="auto"/>
              <w:ind w:right="56"/>
              <w:jc w:val="center"/>
            </w:pPr>
            <w:r>
              <w:rPr>
                <w:rFonts w:ascii="Calibri" w:eastAsia="Calibri" w:hAnsi="Calibri" w:cs="Calibri"/>
                <w:b/>
                <w:color w:val="FFFFFF"/>
                <w:sz w:val="24"/>
              </w:rPr>
              <w:t xml:space="preserve">8.1 </w:t>
            </w:r>
          </w:p>
        </w:tc>
        <w:tc>
          <w:tcPr>
            <w:tcW w:w="4445" w:type="dxa"/>
            <w:tcBorders>
              <w:top w:val="single" w:sz="4" w:space="0" w:color="004A99"/>
              <w:left w:val="single" w:sz="4" w:space="0" w:color="004A99"/>
              <w:bottom w:val="single" w:sz="4" w:space="0" w:color="004A99"/>
              <w:right w:val="single" w:sz="4" w:space="0" w:color="004A99"/>
            </w:tcBorders>
            <w:hideMark/>
          </w:tcPr>
          <w:p w:rsidR="00235464" w:rsidRDefault="00235464">
            <w:pPr>
              <w:spacing w:after="117" w:line="240" w:lineRule="auto"/>
              <w:ind w:right="32"/>
            </w:pPr>
            <w:r>
              <w:t>Le responsable de traitement a désigné un DPO.</w:t>
            </w:r>
          </w:p>
          <w:p w:rsidR="00235464" w:rsidRDefault="00235464">
            <w:pPr>
              <w:spacing w:after="0" w:line="240" w:lineRule="auto"/>
            </w:pPr>
            <w:r>
              <w:t xml:space="preserve"> </w:t>
            </w:r>
          </w:p>
        </w:tc>
        <w:tc>
          <w:tcPr>
            <w:tcW w:w="1788" w:type="dxa"/>
            <w:tcBorders>
              <w:top w:val="single" w:sz="4" w:space="0" w:color="004A99"/>
              <w:left w:val="single" w:sz="4" w:space="0" w:color="004A99"/>
              <w:bottom w:val="single" w:sz="4" w:space="0" w:color="004A99"/>
              <w:right w:val="single" w:sz="4" w:space="0" w:color="004A99"/>
            </w:tcBorders>
            <w:vAlign w:val="center"/>
            <w:hideMark/>
          </w:tcPr>
          <w:p w:rsidR="00235464" w:rsidRDefault="00235464">
            <w:pPr>
              <w:spacing w:after="157" w:line="240" w:lineRule="auto"/>
            </w:pPr>
            <w:r>
              <w:rPr>
                <w:rFonts w:ascii="MS Gothic" w:eastAsia="MS Gothic" w:hAnsi="MS Gothic" w:cs="MS Gothic" w:hint="eastAsia"/>
              </w:rPr>
              <w:t>☐</w:t>
            </w:r>
            <w:r>
              <w:t xml:space="preserve"> Vrai </w:t>
            </w:r>
          </w:p>
          <w:p w:rsidR="00235464" w:rsidRDefault="00235464">
            <w:pPr>
              <w:spacing w:after="167" w:line="240" w:lineRule="auto"/>
            </w:pPr>
            <w:r>
              <w:rPr>
                <w:rFonts w:ascii="MS Gothic" w:eastAsia="MS Gothic" w:hAnsi="MS Gothic" w:cs="MS Gothic" w:hint="eastAsia"/>
              </w:rPr>
              <w:t>☐</w:t>
            </w:r>
            <w:r>
              <w:t xml:space="preserve"> Faux </w:t>
            </w:r>
          </w:p>
        </w:tc>
        <w:tc>
          <w:tcPr>
            <w:tcW w:w="2089" w:type="dxa"/>
            <w:tcBorders>
              <w:top w:val="single" w:sz="4" w:space="0" w:color="004A99"/>
              <w:left w:val="single" w:sz="4" w:space="0" w:color="004A99"/>
              <w:bottom w:val="single" w:sz="4" w:space="0" w:color="004A99"/>
              <w:right w:val="single" w:sz="4" w:space="0" w:color="004A99"/>
            </w:tcBorders>
            <w:hideMark/>
          </w:tcPr>
          <w:p w:rsidR="00235464" w:rsidRDefault="00235464">
            <w:pPr>
              <w:spacing w:after="0" w:line="240" w:lineRule="auto"/>
            </w:pPr>
            <w:r>
              <w:t xml:space="preserve"> </w:t>
            </w:r>
          </w:p>
        </w:tc>
      </w:tr>
      <w:tr w:rsidR="00235464" w:rsidTr="00C537E3">
        <w:trPr>
          <w:cantSplit/>
          <w:trHeight w:val="871"/>
        </w:trPr>
        <w:tc>
          <w:tcPr>
            <w:tcW w:w="1412" w:type="dxa"/>
            <w:tcBorders>
              <w:top w:val="single" w:sz="4" w:space="0" w:color="004A99"/>
              <w:left w:val="single" w:sz="4" w:space="0" w:color="004A99"/>
              <w:bottom w:val="single" w:sz="4" w:space="0" w:color="004A99"/>
              <w:right w:val="single" w:sz="4" w:space="0" w:color="004A99"/>
            </w:tcBorders>
            <w:shd w:val="clear" w:color="auto" w:fill="4796EC"/>
            <w:vAlign w:val="center"/>
            <w:hideMark/>
          </w:tcPr>
          <w:p w:rsidR="00235464" w:rsidRDefault="00235464">
            <w:pPr>
              <w:spacing w:after="0" w:line="240" w:lineRule="auto"/>
              <w:ind w:right="56"/>
              <w:jc w:val="center"/>
              <w:rPr>
                <w:rFonts w:ascii="Calibri" w:eastAsia="Calibri" w:hAnsi="Calibri" w:cs="Calibri"/>
                <w:b/>
                <w:color w:val="FFFFFF"/>
                <w:sz w:val="24"/>
              </w:rPr>
            </w:pPr>
            <w:r>
              <w:rPr>
                <w:rFonts w:ascii="Calibri" w:eastAsia="Calibri" w:hAnsi="Calibri" w:cs="Calibri"/>
                <w:b/>
                <w:color w:val="FFFFFF"/>
                <w:sz w:val="24"/>
              </w:rPr>
              <w:t>8.2</w:t>
            </w:r>
          </w:p>
        </w:tc>
        <w:tc>
          <w:tcPr>
            <w:tcW w:w="4445" w:type="dxa"/>
            <w:tcBorders>
              <w:top w:val="single" w:sz="4" w:space="0" w:color="004A99"/>
              <w:left w:val="single" w:sz="4" w:space="0" w:color="004A99"/>
              <w:bottom w:val="single" w:sz="4" w:space="0" w:color="004A99"/>
              <w:right w:val="single" w:sz="4" w:space="0" w:color="004A99"/>
            </w:tcBorders>
            <w:hideMark/>
          </w:tcPr>
          <w:p w:rsidR="00235464" w:rsidRDefault="00235464">
            <w:pPr>
              <w:spacing w:after="117" w:line="240" w:lineRule="auto"/>
              <w:ind w:right="32"/>
            </w:pPr>
            <w:r>
              <w:t>Le responsable de traitement a transmis un engagement de conformité à la présente méthodologie de référence.</w:t>
            </w:r>
          </w:p>
        </w:tc>
        <w:tc>
          <w:tcPr>
            <w:tcW w:w="1788" w:type="dxa"/>
            <w:tcBorders>
              <w:top w:val="single" w:sz="4" w:space="0" w:color="004A99"/>
              <w:left w:val="single" w:sz="4" w:space="0" w:color="004A99"/>
              <w:bottom w:val="single" w:sz="4" w:space="0" w:color="004A99"/>
              <w:right w:val="single" w:sz="4" w:space="0" w:color="004A99"/>
            </w:tcBorders>
            <w:vAlign w:val="center"/>
            <w:hideMark/>
          </w:tcPr>
          <w:p w:rsidR="00235464" w:rsidRDefault="00235464">
            <w:pPr>
              <w:spacing w:after="157" w:line="240" w:lineRule="auto"/>
            </w:pPr>
            <w:r>
              <w:rPr>
                <w:rFonts w:ascii="MS Gothic" w:eastAsia="MS Gothic" w:hAnsi="MS Gothic" w:cs="MS Gothic" w:hint="eastAsia"/>
              </w:rPr>
              <w:t>☐</w:t>
            </w:r>
            <w:r>
              <w:t xml:space="preserve"> Vrai </w:t>
            </w:r>
          </w:p>
          <w:p w:rsidR="00235464" w:rsidRDefault="00235464">
            <w:pPr>
              <w:spacing w:after="157" w:line="240" w:lineRule="auto"/>
              <w:rPr>
                <w:rFonts w:ascii="MS Gothic" w:eastAsia="MS Gothic" w:hAnsi="MS Gothic" w:cs="MS Gothic"/>
              </w:rPr>
            </w:pPr>
            <w:r>
              <w:rPr>
                <w:rFonts w:ascii="MS Gothic" w:eastAsia="MS Gothic" w:hAnsi="MS Gothic" w:cs="MS Gothic" w:hint="eastAsia"/>
              </w:rPr>
              <w:t>☐</w:t>
            </w:r>
            <w:r>
              <w:t xml:space="preserve"> Faux</w:t>
            </w:r>
          </w:p>
        </w:tc>
        <w:tc>
          <w:tcPr>
            <w:tcW w:w="2089" w:type="dxa"/>
            <w:tcBorders>
              <w:top w:val="single" w:sz="4" w:space="0" w:color="004A99"/>
              <w:left w:val="single" w:sz="4" w:space="0" w:color="004A99"/>
              <w:bottom w:val="single" w:sz="4" w:space="0" w:color="004A99"/>
              <w:right w:val="single" w:sz="4" w:space="0" w:color="004A99"/>
            </w:tcBorders>
          </w:tcPr>
          <w:p w:rsidR="00235464" w:rsidRDefault="00235464">
            <w:pPr>
              <w:spacing w:after="0" w:line="240" w:lineRule="auto"/>
            </w:pPr>
          </w:p>
        </w:tc>
      </w:tr>
      <w:tr w:rsidR="00235464" w:rsidTr="00C537E3">
        <w:trPr>
          <w:cantSplit/>
          <w:trHeight w:val="871"/>
        </w:trPr>
        <w:tc>
          <w:tcPr>
            <w:tcW w:w="1412" w:type="dxa"/>
            <w:tcBorders>
              <w:top w:val="single" w:sz="4" w:space="0" w:color="004A99"/>
              <w:left w:val="single" w:sz="4" w:space="0" w:color="004A99"/>
              <w:bottom w:val="single" w:sz="4" w:space="0" w:color="004A99"/>
              <w:right w:val="single" w:sz="4" w:space="0" w:color="004A99"/>
            </w:tcBorders>
            <w:shd w:val="clear" w:color="auto" w:fill="4796EC"/>
            <w:vAlign w:val="center"/>
            <w:hideMark/>
          </w:tcPr>
          <w:p w:rsidR="00235464" w:rsidRDefault="00235464">
            <w:pPr>
              <w:spacing w:after="0" w:line="240" w:lineRule="auto"/>
              <w:ind w:right="56"/>
              <w:jc w:val="center"/>
              <w:rPr>
                <w:rFonts w:ascii="Calibri" w:eastAsia="Calibri" w:hAnsi="Calibri" w:cs="Calibri"/>
                <w:b/>
                <w:color w:val="FFFFFF"/>
                <w:sz w:val="24"/>
              </w:rPr>
            </w:pPr>
            <w:r>
              <w:rPr>
                <w:rFonts w:ascii="Calibri" w:eastAsia="Calibri" w:hAnsi="Calibri" w:cs="Calibri"/>
                <w:b/>
                <w:color w:val="FFFFFF"/>
                <w:sz w:val="24"/>
              </w:rPr>
              <w:t>8.3</w:t>
            </w:r>
          </w:p>
        </w:tc>
        <w:tc>
          <w:tcPr>
            <w:tcW w:w="4445" w:type="dxa"/>
            <w:tcBorders>
              <w:top w:val="single" w:sz="4" w:space="0" w:color="004A99"/>
              <w:left w:val="single" w:sz="4" w:space="0" w:color="004A99"/>
              <w:bottom w:val="single" w:sz="4" w:space="0" w:color="004A99"/>
              <w:right w:val="single" w:sz="4" w:space="0" w:color="004A99"/>
            </w:tcBorders>
            <w:hideMark/>
          </w:tcPr>
          <w:p w:rsidR="00235464" w:rsidRDefault="00235464">
            <w:pPr>
              <w:spacing w:after="117" w:line="240" w:lineRule="auto"/>
              <w:ind w:right="32"/>
            </w:pPr>
            <w:r>
              <w:t>La présente recherche a été inscrite sur le Registre des activités de traitement du responsable de traitement.</w:t>
            </w:r>
          </w:p>
        </w:tc>
        <w:tc>
          <w:tcPr>
            <w:tcW w:w="1788" w:type="dxa"/>
            <w:tcBorders>
              <w:top w:val="single" w:sz="4" w:space="0" w:color="004A99"/>
              <w:left w:val="single" w:sz="4" w:space="0" w:color="004A99"/>
              <w:bottom w:val="single" w:sz="4" w:space="0" w:color="004A99"/>
              <w:right w:val="single" w:sz="4" w:space="0" w:color="004A99"/>
            </w:tcBorders>
            <w:vAlign w:val="center"/>
            <w:hideMark/>
          </w:tcPr>
          <w:p w:rsidR="00235464" w:rsidRDefault="00235464">
            <w:pPr>
              <w:spacing w:after="157" w:line="240" w:lineRule="auto"/>
            </w:pPr>
            <w:r>
              <w:rPr>
                <w:rFonts w:ascii="MS Gothic" w:eastAsia="MS Gothic" w:hAnsi="MS Gothic" w:cs="MS Gothic" w:hint="eastAsia"/>
              </w:rPr>
              <w:t>☐</w:t>
            </w:r>
            <w:r>
              <w:t xml:space="preserve"> Vrai </w:t>
            </w:r>
          </w:p>
          <w:p w:rsidR="00235464" w:rsidRDefault="00235464">
            <w:pPr>
              <w:spacing w:after="157" w:line="240" w:lineRule="auto"/>
              <w:rPr>
                <w:rFonts w:ascii="MS Gothic" w:eastAsia="MS Gothic" w:hAnsi="MS Gothic" w:cs="MS Gothic"/>
              </w:rPr>
            </w:pPr>
            <w:r>
              <w:rPr>
                <w:rFonts w:ascii="MS Gothic" w:eastAsia="MS Gothic" w:hAnsi="MS Gothic" w:cs="MS Gothic" w:hint="eastAsia"/>
              </w:rPr>
              <w:t>☐</w:t>
            </w:r>
            <w:r>
              <w:t xml:space="preserve"> Faux</w:t>
            </w:r>
          </w:p>
        </w:tc>
        <w:tc>
          <w:tcPr>
            <w:tcW w:w="2089" w:type="dxa"/>
            <w:tcBorders>
              <w:top w:val="single" w:sz="4" w:space="0" w:color="004A99"/>
              <w:left w:val="single" w:sz="4" w:space="0" w:color="004A99"/>
              <w:bottom w:val="single" w:sz="4" w:space="0" w:color="004A99"/>
              <w:right w:val="single" w:sz="4" w:space="0" w:color="004A99"/>
            </w:tcBorders>
          </w:tcPr>
          <w:p w:rsidR="00235464" w:rsidRDefault="00235464">
            <w:pPr>
              <w:spacing w:after="0" w:line="240" w:lineRule="auto"/>
            </w:pPr>
          </w:p>
        </w:tc>
      </w:tr>
    </w:tbl>
    <w:p w:rsidR="00235464" w:rsidRDefault="00235464" w:rsidP="00235464">
      <w:pPr>
        <w:spacing w:line="249" w:lineRule="auto"/>
      </w:pPr>
    </w:p>
    <w:p w:rsidR="00A210BE" w:rsidRDefault="00A210BE" w:rsidP="00235464">
      <w:pPr>
        <w:spacing w:line="249" w:lineRule="auto"/>
      </w:pPr>
    </w:p>
    <w:p w:rsidR="00A210BE" w:rsidRDefault="00A210BE" w:rsidP="00235464">
      <w:pPr>
        <w:spacing w:line="249" w:lineRule="auto"/>
      </w:pPr>
    </w:p>
    <w:tbl>
      <w:tblPr>
        <w:tblW w:w="6175"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D9D9D9" w:themeFill="background1" w:themeFillShade="D9"/>
        <w:tblCellMar>
          <w:left w:w="70" w:type="dxa"/>
          <w:right w:w="70" w:type="dxa"/>
        </w:tblCellMar>
        <w:tblLook w:val="04A0" w:firstRow="1" w:lastRow="0" w:firstColumn="1" w:lastColumn="0" w:noHBand="0" w:noVBand="1"/>
      </w:tblPr>
      <w:tblGrid>
        <w:gridCol w:w="2751"/>
        <w:gridCol w:w="8441"/>
      </w:tblGrid>
      <w:tr w:rsidR="00A210BE" w:rsidRPr="00A210BE" w:rsidTr="007D0972">
        <w:trPr>
          <w:cantSplit/>
          <w:trHeight w:val="423"/>
          <w:jc w:val="center"/>
        </w:trPr>
        <w:tc>
          <w:tcPr>
            <w:tcW w:w="4876" w:type="pct"/>
            <w:gridSpan w:val="2"/>
            <w:tcBorders>
              <w:top w:val="single" w:sz="4" w:space="0" w:color="808080"/>
              <w:left w:val="single" w:sz="4" w:space="0" w:color="808080"/>
              <w:bottom w:val="single" w:sz="4" w:space="0" w:color="808080"/>
              <w:right w:val="single" w:sz="4" w:space="0" w:color="808080"/>
            </w:tcBorders>
            <w:shd w:val="clear" w:color="auto" w:fill="auto"/>
            <w:vAlign w:val="center"/>
          </w:tcPr>
          <w:p w:rsidR="00A210BE" w:rsidRPr="00A210BE" w:rsidRDefault="00A210BE" w:rsidP="00A210BE">
            <w:pPr>
              <w:spacing w:after="0" w:line="240" w:lineRule="auto"/>
              <w:ind w:left="0" w:right="0" w:firstLine="0"/>
              <w:jc w:val="left"/>
              <w:rPr>
                <w:rFonts w:asciiTheme="minorHAnsi" w:eastAsiaTheme="minorHAnsi" w:hAnsiTheme="minorHAnsi" w:cs="Times New Roman"/>
                <w:b/>
                <w:smallCaps/>
                <w:color w:val="auto"/>
                <w:sz w:val="16"/>
                <w:szCs w:val="16"/>
                <w:lang w:eastAsia="en-US"/>
              </w:rPr>
            </w:pPr>
            <w:r w:rsidRPr="00A210BE">
              <w:rPr>
                <w:rFonts w:asciiTheme="minorHAnsi" w:eastAsiaTheme="minorHAnsi" w:hAnsiTheme="minorHAnsi" w:cstheme="minorBidi"/>
                <w:b/>
                <w:color w:val="FF0000"/>
                <w:lang w:eastAsia="en-US"/>
              </w:rPr>
              <w:t xml:space="preserve">Le Porteur de projet atteste que </w:t>
            </w:r>
            <w:r>
              <w:rPr>
                <w:rFonts w:asciiTheme="minorHAnsi" w:eastAsiaTheme="minorHAnsi" w:hAnsiTheme="minorHAnsi" w:cstheme="minorBidi"/>
                <w:b/>
                <w:color w:val="FF0000"/>
                <w:lang w:eastAsia="en-US"/>
              </w:rPr>
              <w:t>le Projet respecte chacun des</w:t>
            </w:r>
            <w:r w:rsidRPr="00A210BE">
              <w:rPr>
                <w:rFonts w:asciiTheme="minorHAnsi" w:eastAsiaTheme="minorHAnsi" w:hAnsiTheme="minorHAnsi" w:cstheme="minorBidi"/>
                <w:b/>
                <w:color w:val="FF0000"/>
                <w:lang w:eastAsia="en-US"/>
              </w:rPr>
              <w:t xml:space="preserve"> </w:t>
            </w:r>
            <w:r>
              <w:rPr>
                <w:rFonts w:asciiTheme="minorHAnsi" w:eastAsiaTheme="minorHAnsi" w:hAnsiTheme="minorHAnsi" w:cstheme="minorBidi"/>
                <w:b/>
                <w:color w:val="FF0000"/>
                <w:lang w:eastAsia="en-US"/>
              </w:rPr>
              <w:t>critères de la méthodologie de référence MR004.</w:t>
            </w:r>
          </w:p>
          <w:p w:rsidR="00A210BE" w:rsidRPr="00A210BE" w:rsidRDefault="00A210BE" w:rsidP="00A210BE">
            <w:pPr>
              <w:spacing w:after="0" w:line="240" w:lineRule="auto"/>
              <w:ind w:left="0" w:right="0" w:firstLine="0"/>
              <w:jc w:val="left"/>
              <w:rPr>
                <w:rFonts w:asciiTheme="minorHAnsi" w:eastAsiaTheme="minorHAnsi" w:hAnsiTheme="minorHAnsi" w:cs="Times New Roman"/>
                <w:b/>
                <w:smallCaps/>
                <w:color w:val="auto"/>
                <w:sz w:val="16"/>
                <w:szCs w:val="16"/>
                <w:lang w:eastAsia="en-US"/>
              </w:rPr>
            </w:pPr>
          </w:p>
        </w:tc>
      </w:tr>
      <w:tr w:rsidR="00A210BE" w:rsidRPr="00A210BE" w:rsidTr="00A210BE">
        <w:trPr>
          <w:cantSplit/>
          <w:trHeight w:val="1719"/>
          <w:jc w:val="center"/>
        </w:trPr>
        <w:tc>
          <w:tcPr>
            <w:tcW w:w="1199" w:type="pct"/>
            <w:tcBorders>
              <w:top w:val="single" w:sz="4" w:space="0" w:color="808080"/>
              <w:left w:val="single" w:sz="4" w:space="0" w:color="808080"/>
              <w:right w:val="single" w:sz="4" w:space="0" w:color="808080"/>
            </w:tcBorders>
            <w:shd w:val="clear" w:color="auto" w:fill="BDD6EE" w:themeFill="accent1" w:themeFillTint="66"/>
            <w:vAlign w:val="center"/>
          </w:tcPr>
          <w:p w:rsidR="00A210BE" w:rsidRPr="00A210BE" w:rsidRDefault="00A210BE" w:rsidP="00A210BE">
            <w:pPr>
              <w:spacing w:after="0" w:line="240" w:lineRule="auto"/>
              <w:ind w:left="0" w:right="0" w:firstLine="0"/>
              <w:jc w:val="left"/>
              <w:rPr>
                <w:rFonts w:asciiTheme="minorHAnsi" w:eastAsiaTheme="minorHAnsi" w:hAnsiTheme="minorHAnsi" w:cs="Calibri"/>
                <w:b/>
                <w:smallCaps/>
                <w:color w:val="auto"/>
                <w:szCs w:val="20"/>
                <w:lang w:eastAsia="en-US"/>
              </w:rPr>
            </w:pPr>
            <w:r w:rsidRPr="00A210BE">
              <w:rPr>
                <w:rFonts w:asciiTheme="minorHAnsi" w:eastAsiaTheme="minorHAnsi" w:hAnsiTheme="minorHAnsi" w:cs="Calibri"/>
                <w:b/>
                <w:smallCaps/>
                <w:color w:val="auto"/>
                <w:szCs w:val="20"/>
                <w:lang w:eastAsia="en-US"/>
              </w:rPr>
              <w:t>Date et signatures</w:t>
            </w:r>
          </w:p>
        </w:tc>
        <w:tc>
          <w:tcPr>
            <w:tcW w:w="3677" w:type="pct"/>
            <w:tcBorders>
              <w:top w:val="single" w:sz="4" w:space="0" w:color="808080"/>
              <w:left w:val="single" w:sz="4" w:space="0" w:color="808080"/>
              <w:right w:val="single" w:sz="4" w:space="0" w:color="808080"/>
            </w:tcBorders>
            <w:shd w:val="clear" w:color="auto" w:fill="auto"/>
          </w:tcPr>
          <w:p w:rsidR="00A210BE" w:rsidRPr="00A210BE" w:rsidRDefault="00A210BE" w:rsidP="00A210BE">
            <w:pPr>
              <w:spacing w:after="0" w:line="240" w:lineRule="auto"/>
              <w:ind w:left="0" w:right="0" w:firstLine="0"/>
              <w:jc w:val="left"/>
              <w:rPr>
                <w:rFonts w:asciiTheme="minorHAnsi" w:eastAsiaTheme="minorHAnsi" w:hAnsiTheme="minorHAnsi" w:cs="Calibri"/>
                <w:b/>
                <w:color w:val="auto"/>
                <w:szCs w:val="20"/>
                <w:lang w:eastAsia="en-US"/>
              </w:rPr>
            </w:pPr>
            <w:r w:rsidRPr="00A210BE">
              <w:rPr>
                <w:rFonts w:asciiTheme="minorHAnsi" w:eastAsiaTheme="minorHAnsi" w:hAnsiTheme="minorHAnsi" w:cs="Calibri"/>
                <w:b/>
                <w:color w:val="auto"/>
                <w:sz w:val="16"/>
                <w:szCs w:val="16"/>
                <w:lang w:eastAsia="en-US"/>
              </w:rPr>
              <w:t>Porteur de projet</w:t>
            </w:r>
          </w:p>
          <w:p w:rsidR="00A210BE" w:rsidRPr="00A210BE" w:rsidRDefault="00A210BE" w:rsidP="00A210BE">
            <w:pPr>
              <w:spacing w:after="0" w:line="240" w:lineRule="auto"/>
              <w:ind w:left="0" w:right="0" w:firstLine="0"/>
              <w:jc w:val="left"/>
              <w:rPr>
                <w:rFonts w:asciiTheme="minorHAnsi" w:eastAsiaTheme="minorHAnsi" w:hAnsiTheme="minorHAnsi" w:cs="Calibri"/>
                <w:i/>
                <w:color w:val="auto"/>
                <w:sz w:val="16"/>
                <w:szCs w:val="16"/>
                <w:lang w:eastAsia="en-US"/>
              </w:rPr>
            </w:pPr>
            <w:r w:rsidRPr="00A210BE">
              <w:rPr>
                <w:rFonts w:asciiTheme="minorHAnsi" w:eastAsiaTheme="minorHAnsi" w:hAnsiTheme="minorHAnsi" w:cs="Calibri"/>
                <w:color w:val="auto"/>
                <w:szCs w:val="20"/>
                <w:lang w:eastAsia="en-US"/>
              </w:rPr>
              <w:t>XXXXX</w:t>
            </w:r>
          </w:p>
          <w:p w:rsidR="00A210BE" w:rsidRPr="00A210BE" w:rsidRDefault="00A210BE" w:rsidP="00A210BE">
            <w:pPr>
              <w:spacing w:after="0" w:line="240" w:lineRule="auto"/>
              <w:ind w:left="0" w:right="0" w:firstLine="0"/>
              <w:jc w:val="left"/>
              <w:rPr>
                <w:rFonts w:asciiTheme="minorHAnsi" w:eastAsiaTheme="minorHAnsi" w:hAnsiTheme="minorHAnsi" w:cs="Calibri"/>
                <w:color w:val="auto"/>
                <w:szCs w:val="20"/>
                <w:lang w:eastAsia="en-US"/>
              </w:rPr>
            </w:pPr>
            <w:r w:rsidRPr="00A210BE">
              <w:rPr>
                <w:rFonts w:asciiTheme="minorHAnsi" w:eastAsiaTheme="minorHAnsi" w:hAnsiTheme="minorHAnsi" w:cs="Calibri"/>
                <w:color w:val="auto"/>
                <w:szCs w:val="20"/>
                <w:lang w:eastAsia="en-US"/>
              </w:rPr>
              <w:t>Date</w:t>
            </w:r>
          </w:p>
          <w:p w:rsidR="00A210BE" w:rsidRPr="00A210BE" w:rsidRDefault="00A210BE" w:rsidP="00A210BE">
            <w:pPr>
              <w:spacing w:after="0" w:line="240" w:lineRule="auto"/>
              <w:ind w:left="0" w:right="0" w:firstLine="0"/>
              <w:jc w:val="left"/>
              <w:rPr>
                <w:rFonts w:asciiTheme="minorHAnsi" w:eastAsiaTheme="minorHAnsi" w:hAnsiTheme="minorHAnsi" w:cs="Calibri"/>
                <w:color w:val="auto"/>
                <w:szCs w:val="20"/>
                <w:lang w:eastAsia="en-US"/>
              </w:rPr>
            </w:pPr>
            <w:r w:rsidRPr="00A210BE">
              <w:rPr>
                <w:rFonts w:asciiTheme="minorHAnsi" w:eastAsiaTheme="minorHAnsi" w:hAnsiTheme="minorHAnsi" w:cs="Calibri"/>
                <w:color w:val="auto"/>
                <w:szCs w:val="20"/>
                <w:lang w:eastAsia="en-US"/>
              </w:rPr>
              <w:t>Signature</w:t>
            </w:r>
          </w:p>
          <w:p w:rsidR="00A210BE" w:rsidRPr="00A210BE" w:rsidRDefault="00A210BE" w:rsidP="00A210BE">
            <w:pPr>
              <w:spacing w:after="0" w:line="240" w:lineRule="auto"/>
              <w:ind w:left="0" w:right="0" w:firstLine="0"/>
              <w:jc w:val="left"/>
              <w:rPr>
                <w:rFonts w:asciiTheme="minorHAnsi" w:eastAsiaTheme="minorHAnsi" w:hAnsiTheme="minorHAnsi" w:cs="Calibri"/>
                <w:color w:val="auto"/>
                <w:szCs w:val="20"/>
                <w:lang w:eastAsia="en-US"/>
              </w:rPr>
            </w:pPr>
          </w:p>
          <w:p w:rsidR="00A210BE" w:rsidRPr="00A210BE" w:rsidRDefault="00A210BE" w:rsidP="00A210BE">
            <w:pPr>
              <w:spacing w:after="0" w:line="240" w:lineRule="auto"/>
              <w:ind w:left="0" w:right="0" w:firstLine="0"/>
              <w:jc w:val="left"/>
              <w:rPr>
                <w:rFonts w:asciiTheme="minorHAnsi" w:eastAsiaTheme="minorHAnsi" w:hAnsiTheme="minorHAnsi" w:cs="Calibri"/>
                <w:b/>
                <w:color w:val="auto"/>
                <w:szCs w:val="20"/>
                <w:lang w:eastAsia="en-US"/>
              </w:rPr>
            </w:pPr>
          </w:p>
        </w:tc>
      </w:tr>
    </w:tbl>
    <w:p w:rsidR="00E00853" w:rsidRDefault="00E00853"/>
    <w:sectPr w:rsidR="00E00853">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DDA" w:rsidRDefault="000E2DDA" w:rsidP="000E2DDA">
      <w:pPr>
        <w:spacing w:after="0" w:line="240" w:lineRule="auto"/>
      </w:pPr>
      <w:r>
        <w:separator/>
      </w:r>
    </w:p>
  </w:endnote>
  <w:endnote w:type="continuationSeparator" w:id="0">
    <w:p w:rsidR="000E2DDA" w:rsidRDefault="000E2DDA" w:rsidP="000E2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3492143"/>
      <w:docPartObj>
        <w:docPartGallery w:val="Page Numbers (Bottom of Page)"/>
        <w:docPartUnique/>
      </w:docPartObj>
    </w:sdtPr>
    <w:sdtEndPr/>
    <w:sdtContent>
      <w:p w:rsidR="000A0CB7" w:rsidRDefault="000A0CB7">
        <w:pPr>
          <w:pStyle w:val="Pieddepage"/>
          <w:jc w:val="right"/>
        </w:pPr>
        <w:r>
          <w:fldChar w:fldCharType="begin"/>
        </w:r>
        <w:r>
          <w:instrText>PAGE   \* MERGEFORMAT</w:instrText>
        </w:r>
        <w:r>
          <w:fldChar w:fldCharType="separate"/>
        </w:r>
        <w:r w:rsidR="0014412D">
          <w:rPr>
            <w:noProof/>
          </w:rPr>
          <w:t>1</w:t>
        </w:r>
        <w:r>
          <w:fldChar w:fldCharType="end"/>
        </w:r>
      </w:p>
    </w:sdtContent>
  </w:sdt>
  <w:p w:rsidR="000E2DDA" w:rsidRDefault="00C537E3">
    <w:pPr>
      <w:pStyle w:val="Pieddepage"/>
    </w:pPr>
    <w:r>
      <w:t>Version du 02.01.2023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DDA" w:rsidRDefault="000E2DDA" w:rsidP="000E2DDA">
      <w:pPr>
        <w:spacing w:after="0" w:line="240" w:lineRule="auto"/>
      </w:pPr>
      <w:r>
        <w:separator/>
      </w:r>
    </w:p>
  </w:footnote>
  <w:footnote w:type="continuationSeparator" w:id="0">
    <w:p w:rsidR="000E2DDA" w:rsidRDefault="000E2DDA" w:rsidP="000E2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0E3" w:rsidRDefault="00A020E3">
    <w:pPr>
      <w:pStyle w:val="En-tte"/>
    </w:pPr>
    <w:r>
      <w:rPr>
        <w:noProof/>
      </w:rPr>
      <w:drawing>
        <wp:inline distT="0" distB="0" distL="0" distR="0" wp14:anchorId="03E0491D" wp14:editId="4E618A1E">
          <wp:extent cx="1339850" cy="80949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GR Logo.png"/>
                  <pic:cNvPicPr/>
                </pic:nvPicPr>
                <pic:blipFill>
                  <a:blip r:embed="rId1">
                    <a:extLst>
                      <a:ext uri="{28A0092B-C50C-407E-A947-70E740481C1C}">
                        <a14:useLocalDpi xmlns:a14="http://schemas.microsoft.com/office/drawing/2010/main" val="0"/>
                      </a:ext>
                    </a:extLst>
                  </a:blip>
                  <a:stretch>
                    <a:fillRect/>
                  </a:stretch>
                </pic:blipFill>
                <pic:spPr>
                  <a:xfrm>
                    <a:off x="0" y="0"/>
                    <a:ext cx="1359551" cy="8213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82FBC"/>
    <w:multiLevelType w:val="hybridMultilevel"/>
    <w:tmpl w:val="DCECEC50"/>
    <w:lvl w:ilvl="0" w:tplc="20FCE244">
      <w:start w:val="3"/>
      <w:numFmt w:val="bullet"/>
      <w:lvlText w:val="-"/>
      <w:lvlJc w:val="left"/>
      <w:pPr>
        <w:ind w:left="720" w:hanging="360"/>
      </w:pPr>
      <w:rPr>
        <w:rFonts w:ascii="Georgia" w:eastAsia="Georgia"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295A0F"/>
    <w:multiLevelType w:val="multilevel"/>
    <w:tmpl w:val="E4A8BE46"/>
    <w:lvl w:ilvl="0">
      <w:start w:val="1"/>
      <w:numFmt w:val="bullet"/>
      <w:lvlText w:val=""/>
      <w:lvlJc w:val="left"/>
      <w:pPr>
        <w:tabs>
          <w:tab w:val="num" w:pos="720"/>
        </w:tabs>
        <w:ind w:left="720" w:hanging="360"/>
      </w:pPr>
      <w:rPr>
        <w:rFonts w:ascii="Symbol" w:hAnsi="Symbol" w:hint="default"/>
        <w:b/>
        <w:color w:val="FFFFFF" w:themeColor="background1"/>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743256"/>
    <w:multiLevelType w:val="hybridMultilevel"/>
    <w:tmpl w:val="4E36F1F6"/>
    <w:lvl w:ilvl="0" w:tplc="27AEB5C0">
      <w:start w:val="3"/>
      <w:numFmt w:val="decimal"/>
      <w:lvlText w:val="%1."/>
      <w:lvlJc w:val="left"/>
      <w:pPr>
        <w:ind w:left="1080" w:hanging="360"/>
      </w:pPr>
      <w:rPr>
        <w:rFonts w:asciiTheme="minorHAnsi" w:hAnsiTheme="minorHAnsi" w:cstheme="minorHAnsi" w:hint="default"/>
        <w:b/>
        <w:color w:val="FFFFFF" w:themeColor="background1"/>
        <w:sz w:val="24"/>
        <w:szCs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080"/>
    <w:rsid w:val="000A0CB7"/>
    <w:rsid w:val="000E2DDA"/>
    <w:rsid w:val="0014412D"/>
    <w:rsid w:val="002142B5"/>
    <w:rsid w:val="00235464"/>
    <w:rsid w:val="00242FBA"/>
    <w:rsid w:val="00897781"/>
    <w:rsid w:val="00A020E3"/>
    <w:rsid w:val="00A210BE"/>
    <w:rsid w:val="00A6042E"/>
    <w:rsid w:val="00AB3080"/>
    <w:rsid w:val="00C14C13"/>
    <w:rsid w:val="00C537E3"/>
    <w:rsid w:val="00E00853"/>
    <w:rsid w:val="00EE0F09"/>
    <w:rsid w:val="00FE6F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BB33A0-ADAC-4AD0-BA20-CCD96CE0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781"/>
    <w:pPr>
      <w:spacing w:after="97" w:line="250" w:lineRule="auto"/>
      <w:ind w:left="10" w:right="3" w:hanging="10"/>
      <w:jc w:val="both"/>
    </w:pPr>
    <w:rPr>
      <w:rFonts w:ascii="Georgia" w:eastAsia="Georgia" w:hAnsi="Georgia" w:cs="Georgia"/>
      <w:color w:val="333333"/>
      <w:sz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rsid w:val="00897781"/>
    <w:pPr>
      <w:spacing w:after="0" w:line="240" w:lineRule="auto"/>
    </w:pPr>
    <w:rPr>
      <w:rFonts w:eastAsiaTheme="minorEastAsia"/>
      <w:lang w:eastAsia="fr-FR"/>
    </w:rPr>
    <w:tblPr>
      <w:tblCellMar>
        <w:top w:w="0" w:type="dxa"/>
        <w:left w:w="0" w:type="dxa"/>
        <w:bottom w:w="0" w:type="dxa"/>
        <w:right w:w="0" w:type="dxa"/>
      </w:tblCellMar>
    </w:tblPr>
  </w:style>
  <w:style w:type="paragraph" w:styleId="Paragraphedeliste">
    <w:name w:val="List Paragraph"/>
    <w:basedOn w:val="Normal"/>
    <w:uiPriority w:val="34"/>
    <w:qFormat/>
    <w:rsid w:val="00897781"/>
    <w:pPr>
      <w:ind w:left="720"/>
      <w:contextualSpacing/>
    </w:pPr>
  </w:style>
  <w:style w:type="character" w:styleId="Lienhypertexte">
    <w:name w:val="Hyperlink"/>
    <w:basedOn w:val="Policepardfaut"/>
    <w:uiPriority w:val="99"/>
    <w:unhideWhenUsed/>
    <w:rsid w:val="00897781"/>
    <w:rPr>
      <w:color w:val="0563C1" w:themeColor="hyperlink"/>
      <w:u w:val="single"/>
    </w:rPr>
  </w:style>
  <w:style w:type="paragraph" w:styleId="En-tte">
    <w:name w:val="header"/>
    <w:basedOn w:val="Normal"/>
    <w:link w:val="En-tteCar"/>
    <w:uiPriority w:val="99"/>
    <w:unhideWhenUsed/>
    <w:rsid w:val="000E2DDA"/>
    <w:pPr>
      <w:tabs>
        <w:tab w:val="center" w:pos="4536"/>
        <w:tab w:val="right" w:pos="9072"/>
      </w:tabs>
      <w:spacing w:after="0" w:line="240" w:lineRule="auto"/>
    </w:pPr>
  </w:style>
  <w:style w:type="character" w:customStyle="1" w:styleId="En-tteCar">
    <w:name w:val="En-tête Car"/>
    <w:basedOn w:val="Policepardfaut"/>
    <w:link w:val="En-tte"/>
    <w:uiPriority w:val="99"/>
    <w:rsid w:val="000E2DDA"/>
    <w:rPr>
      <w:rFonts w:ascii="Georgia" w:eastAsia="Georgia" w:hAnsi="Georgia" w:cs="Georgia"/>
      <w:color w:val="333333"/>
      <w:sz w:val="20"/>
      <w:lang w:eastAsia="fr-FR"/>
    </w:rPr>
  </w:style>
  <w:style w:type="paragraph" w:styleId="Pieddepage">
    <w:name w:val="footer"/>
    <w:basedOn w:val="Normal"/>
    <w:link w:val="PieddepageCar"/>
    <w:uiPriority w:val="99"/>
    <w:unhideWhenUsed/>
    <w:rsid w:val="000E2D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2DDA"/>
    <w:rPr>
      <w:rFonts w:ascii="Georgia" w:eastAsia="Georgia" w:hAnsi="Georgia" w:cs="Georgia"/>
      <w:color w:val="333333"/>
      <w:sz w:val="20"/>
      <w:lang w:eastAsia="fr-FR"/>
    </w:rPr>
  </w:style>
  <w:style w:type="paragraph" w:styleId="Textedebulles">
    <w:name w:val="Balloon Text"/>
    <w:basedOn w:val="Normal"/>
    <w:link w:val="TextedebullesCar"/>
    <w:uiPriority w:val="99"/>
    <w:semiHidden/>
    <w:unhideWhenUsed/>
    <w:rsid w:val="00A6042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6042E"/>
    <w:rPr>
      <w:rFonts w:ascii="Segoe UI" w:eastAsia="Georgia" w:hAnsi="Segoe UI" w:cs="Segoe UI"/>
      <w:color w:val="333333"/>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7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il.fr/fr/la-cnil-adopte-un-referentiel-sur-les-entrepots-de-donnees-de-sant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france.gouv.fr/affichCodeArticle.do?cidTexte=LEGITEXT000006072665&amp;idArticle=LEGIARTI000031923882&amp;dateTexte=&amp;categorieLien=ci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egifrance.gouv.fr/affichCodeArticle.do?cidTexte=LEGITEXT000006072665&amp;idArticle=LEGIARTI000006908314&amp;dateTexte=&amp;categorieLien=cid" TargetMode="External"/><Relationship Id="rId4" Type="http://schemas.openxmlformats.org/officeDocument/2006/relationships/webSettings" Target="webSettings.xml"/><Relationship Id="rId9" Type="http://schemas.openxmlformats.org/officeDocument/2006/relationships/hyperlink" Target="https://www.legifrance.gouv.fr/affichCodeArticle.do?idArticle=LEGIARTI000006685827&amp;cidTexte=LEGITEXT000006072665&amp;dateTexte=20080129"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2308</Words>
  <Characters>12700</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Gustave Roussy</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BECHET Clara</dc:creator>
  <cp:keywords/>
  <dc:description/>
  <cp:lastModifiedBy>MARAL Sylvie</cp:lastModifiedBy>
  <cp:revision>2</cp:revision>
  <cp:lastPrinted>2023-01-02T09:46:00Z</cp:lastPrinted>
  <dcterms:created xsi:type="dcterms:W3CDTF">2025-03-27T16:34:00Z</dcterms:created>
  <dcterms:modified xsi:type="dcterms:W3CDTF">2025-03-27T16:34:00Z</dcterms:modified>
</cp:coreProperties>
</file>